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3F6931F9" w:rsidR="00844ADA" w:rsidRPr="00467A99" w:rsidRDefault="0091216E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April 29</w:t>
      </w:r>
      <w:r w:rsidR="0079183D">
        <w:rPr>
          <w:rFonts w:ascii="Cambria" w:hAnsi="Cambria"/>
          <w:sz w:val="22"/>
        </w:rPr>
        <w:t>th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3170"/>
        <w:gridCol w:w="1510"/>
        <w:gridCol w:w="989"/>
        <w:gridCol w:w="1692"/>
      </w:tblGrid>
      <w:tr w:rsidR="00756408" w:rsidRPr="00467A99" w14:paraId="0BE18DC1" w14:textId="6D2B53DF" w:rsidTr="00AD26F5">
        <w:tc>
          <w:tcPr>
            <w:tcW w:w="1317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628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681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506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68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756408" w:rsidRPr="00467A99" w14:paraId="14C390FA" w14:textId="7DCBE8FC" w:rsidTr="00AD26F5">
        <w:tc>
          <w:tcPr>
            <w:tcW w:w="1317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628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06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68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52BB6181" w14:textId="6C0A80A3" w:rsidTr="00AD26F5">
        <w:tc>
          <w:tcPr>
            <w:tcW w:w="1317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628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06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868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4FEF3600" w14:textId="77777777" w:rsidTr="00AD26F5">
        <w:tc>
          <w:tcPr>
            <w:tcW w:w="1317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628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06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8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2E681B68" w14:textId="77777777" w:rsidTr="00AD26F5">
        <w:tc>
          <w:tcPr>
            <w:tcW w:w="1317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628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506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68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756408" w:rsidRPr="00467A99" w14:paraId="638288B1" w14:textId="179CB67C" w:rsidTr="00AD26F5">
        <w:tc>
          <w:tcPr>
            <w:tcW w:w="1317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628" w:type="pct"/>
          </w:tcPr>
          <w:p w14:paraId="23593C05" w14:textId="15FC6A77" w:rsidR="00CE4F61" w:rsidRPr="009629FF" w:rsidRDefault="0091216E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ASdraftminutes4-15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681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06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68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651D921F" w14:textId="220403EE" w:rsidTr="00AD26F5">
        <w:tc>
          <w:tcPr>
            <w:tcW w:w="1317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628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06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68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5E4F59EE" w14:textId="13ED95D8" w:rsidTr="00AD26F5">
        <w:tc>
          <w:tcPr>
            <w:tcW w:w="1317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628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506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8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AD26F5" w:rsidRPr="00467A99" w14:paraId="3DA4A062" w14:textId="77777777" w:rsidTr="00AD26F5">
        <w:tc>
          <w:tcPr>
            <w:tcW w:w="1317" w:type="pct"/>
          </w:tcPr>
          <w:p w14:paraId="47398B12" w14:textId="17ED1A3C" w:rsidR="008C0AF6" w:rsidRPr="008C0AF6" w:rsidRDefault="008C0AF6" w:rsidP="008C0AF6">
            <w:pPr>
              <w:rPr>
                <w:rFonts w:ascii="Cambria" w:hAnsi="Cambria"/>
                <w:sz w:val="22"/>
                <w:lang w:bidi="x-none"/>
              </w:rPr>
            </w:pPr>
            <w:r w:rsidRPr="008C0AF6">
              <w:rPr>
                <w:rFonts w:ascii="Cambria" w:hAnsi="Cambria"/>
                <w:sz w:val="22"/>
                <w:lang w:bidi="x-none"/>
              </w:rPr>
              <w:t xml:space="preserve">  </w:t>
            </w:r>
            <w:r>
              <w:rPr>
                <w:rFonts w:ascii="Cambria" w:hAnsi="Cambria"/>
                <w:sz w:val="22"/>
                <w:lang w:bidi="x-none"/>
              </w:rPr>
              <w:t xml:space="preserve">      a.    Vision for        Success Goals</w:t>
            </w:r>
          </w:p>
        </w:tc>
        <w:tc>
          <w:tcPr>
            <w:tcW w:w="1628" w:type="pct"/>
          </w:tcPr>
          <w:p w14:paraId="059914D3" w14:textId="2D83F19D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724B59">
              <w:rPr>
                <w:rFonts w:ascii="Cambria" w:hAnsi="Cambria"/>
                <w:sz w:val="20"/>
                <w:szCs w:val="20"/>
                <w:lang w:bidi="x-none"/>
              </w:rPr>
              <w:t>VfS_Goals_1_to_5_AcaSenate_v3_04082019</w:t>
            </w:r>
          </w:p>
        </w:tc>
        <w:tc>
          <w:tcPr>
            <w:tcW w:w="681" w:type="pct"/>
          </w:tcPr>
          <w:p w14:paraId="5CC0899D" w14:textId="0F9FD37D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Discussion/3</w:t>
            </w:r>
            <w:r w:rsidRPr="008C0AF6">
              <w:rPr>
                <w:rFonts w:ascii="Cambria" w:hAnsi="Cambria"/>
                <w:sz w:val="22"/>
                <w:vertAlign w:val="superscript"/>
                <w:lang w:bidi="x-none"/>
              </w:rPr>
              <w:t>rd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 if Ready</w:t>
            </w:r>
          </w:p>
        </w:tc>
        <w:tc>
          <w:tcPr>
            <w:tcW w:w="506" w:type="pct"/>
          </w:tcPr>
          <w:p w14:paraId="616C3741" w14:textId="018118E3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68" w:type="pct"/>
          </w:tcPr>
          <w:p w14:paraId="0F90B60C" w14:textId="02C35672" w:rsidR="008C0AF6" w:rsidRPr="00C72A07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share thoughts/questions from constituents, and if need be, understand clarification to take back to constituents. If ready, the body can take action on the goals.</w:t>
            </w:r>
          </w:p>
        </w:tc>
      </w:tr>
      <w:tr w:rsidR="00AD26F5" w:rsidRPr="00467A99" w14:paraId="766191C9" w14:textId="77777777" w:rsidTr="00AD26F5">
        <w:tc>
          <w:tcPr>
            <w:tcW w:w="1317" w:type="pct"/>
          </w:tcPr>
          <w:p w14:paraId="29FF909E" w14:textId="377449B6" w:rsidR="008C0AF6" w:rsidRPr="008C0AF6" w:rsidRDefault="008C0AF6" w:rsidP="008C0AF6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b.   Equity Plan 2019-22</w:t>
            </w:r>
          </w:p>
        </w:tc>
        <w:tc>
          <w:tcPr>
            <w:tcW w:w="1628" w:type="pct"/>
          </w:tcPr>
          <w:p w14:paraId="4C5BC268" w14:textId="4ED2A9A7" w:rsidR="008C0AF6" w:rsidRPr="00724B59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724B59">
              <w:rPr>
                <w:rFonts w:ascii="Cambria" w:hAnsi="Cambria"/>
                <w:sz w:val="20"/>
                <w:szCs w:val="20"/>
                <w:lang w:bidi="x-none"/>
              </w:rPr>
              <w:t>Equity Plan Presentation (April 2019 v2)</w:t>
            </w:r>
          </w:p>
        </w:tc>
        <w:tc>
          <w:tcPr>
            <w:tcW w:w="681" w:type="pct"/>
          </w:tcPr>
          <w:p w14:paraId="773DF4C8" w14:textId="704978C5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</w:t>
            </w:r>
            <w:r>
              <w:rPr>
                <w:rFonts w:ascii="Cambria" w:hAnsi="Cambria"/>
                <w:sz w:val="22"/>
                <w:lang w:bidi="x-none"/>
              </w:rPr>
              <w:t>2nd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  <w:r>
              <w:rPr>
                <w:rFonts w:ascii="Cambria" w:hAnsi="Cambria"/>
                <w:sz w:val="22"/>
                <w:lang w:bidi="x-none"/>
              </w:rPr>
              <w:t>/Action if Ready</w:t>
            </w:r>
          </w:p>
        </w:tc>
        <w:tc>
          <w:tcPr>
            <w:tcW w:w="506" w:type="pct"/>
          </w:tcPr>
          <w:p w14:paraId="1EE4972B" w14:textId="4DAB027F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68" w:type="pct"/>
          </w:tcPr>
          <w:p w14:paraId="4287FF7F" w14:textId="3C45B384" w:rsidR="008C0AF6" w:rsidRPr="00C72A07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share thoughts/questions from constituents, and if need be, understand clarification to take back to constituents. If ready, the body can take action on the </w:t>
            </w:r>
            <w:r>
              <w:rPr>
                <w:rFonts w:ascii="Cambria" w:hAnsi="Cambria"/>
                <w:sz w:val="20"/>
                <w:lang w:bidi="x-none"/>
              </w:rPr>
              <w:t>plan</w:t>
            </w:r>
            <w:r>
              <w:rPr>
                <w:rFonts w:ascii="Cambria" w:hAnsi="Cambria"/>
                <w:sz w:val="20"/>
                <w:lang w:bidi="x-none"/>
              </w:rPr>
              <w:t>.</w:t>
            </w:r>
          </w:p>
        </w:tc>
      </w:tr>
      <w:tr w:rsidR="00756408" w:rsidRPr="00467A99" w14:paraId="6FF99003" w14:textId="61DDC861" w:rsidTr="00AD26F5">
        <w:tc>
          <w:tcPr>
            <w:tcW w:w="1317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628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06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8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6B071F46" w14:textId="77777777" w:rsidTr="00AD26F5">
        <w:tc>
          <w:tcPr>
            <w:tcW w:w="1317" w:type="pct"/>
          </w:tcPr>
          <w:p w14:paraId="6027FD80" w14:textId="4865FE9E" w:rsidR="00B05FFB" w:rsidRPr="00156526" w:rsidRDefault="008C0AF6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Elections</w:t>
            </w:r>
          </w:p>
        </w:tc>
        <w:tc>
          <w:tcPr>
            <w:tcW w:w="1628" w:type="pct"/>
          </w:tcPr>
          <w:p w14:paraId="399326A4" w14:textId="0BE5BDE2" w:rsidR="00B05FFB" w:rsidRPr="00CB132E" w:rsidRDefault="00B05FFB" w:rsidP="00724B59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681" w:type="pct"/>
          </w:tcPr>
          <w:p w14:paraId="7934FF0C" w14:textId="0AC3EDD1" w:rsidR="00B05FFB" w:rsidRDefault="008C0AF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  <w:r w:rsidR="004B5E03">
              <w:rPr>
                <w:rFonts w:ascii="Cambria" w:hAnsi="Cambria"/>
                <w:sz w:val="22"/>
                <w:lang w:bidi="x-none"/>
              </w:rPr>
              <w:t>/Action</w:t>
            </w:r>
          </w:p>
        </w:tc>
        <w:tc>
          <w:tcPr>
            <w:tcW w:w="506" w:type="pct"/>
          </w:tcPr>
          <w:p w14:paraId="0129709D" w14:textId="071D91F3" w:rsidR="00B05FFB" w:rsidRDefault="00BA3302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868" w:type="pct"/>
          </w:tcPr>
          <w:p w14:paraId="2DD1F740" w14:textId="705C201A" w:rsidR="00B05FFB" w:rsidRPr="00C72A07" w:rsidRDefault="008C0AF6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to decide how the body should move forward with spring elections</w:t>
            </w:r>
          </w:p>
        </w:tc>
      </w:tr>
      <w:tr w:rsidR="00756408" w:rsidRPr="00467A99" w14:paraId="13B50FA2" w14:textId="13251A90" w:rsidTr="00AD26F5">
        <w:tc>
          <w:tcPr>
            <w:tcW w:w="1317" w:type="pct"/>
          </w:tcPr>
          <w:p w14:paraId="759F98B4" w14:textId="0BBAFFD2" w:rsidR="00B05FFB" w:rsidRDefault="008C0AF6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Faculty Commencement Speakers</w:t>
            </w:r>
          </w:p>
        </w:tc>
        <w:tc>
          <w:tcPr>
            <w:tcW w:w="1628" w:type="pct"/>
          </w:tcPr>
          <w:p w14:paraId="35246472" w14:textId="65C68192" w:rsidR="00B05FFB" w:rsidRPr="00DB154D" w:rsidRDefault="00F40BBB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40BBB">
              <w:rPr>
                <w:rFonts w:ascii="Cambria" w:hAnsi="Cambria"/>
                <w:sz w:val="20"/>
                <w:szCs w:val="20"/>
                <w:lang w:bidi="x-none"/>
              </w:rPr>
              <w:t>ASFC-</w:t>
            </w:r>
            <w:proofErr w:type="spellStart"/>
            <w:r w:rsidRPr="00F40BBB">
              <w:rPr>
                <w:rFonts w:ascii="Cambria" w:hAnsi="Cambria"/>
                <w:sz w:val="20"/>
                <w:szCs w:val="20"/>
                <w:lang w:bidi="x-none"/>
              </w:rPr>
              <w:t>CommencementNominations</w:t>
            </w:r>
            <w:proofErr w:type="spellEnd"/>
          </w:p>
        </w:tc>
        <w:tc>
          <w:tcPr>
            <w:tcW w:w="681" w:type="pct"/>
          </w:tcPr>
          <w:p w14:paraId="06B23A83" w14:textId="73654F8C" w:rsidR="00B05FFB" w:rsidRDefault="008C0AF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506" w:type="pct"/>
          </w:tcPr>
          <w:p w14:paraId="6183ADF2" w14:textId="43F399EF" w:rsidR="00B05FFB" w:rsidRDefault="008C0AF6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68" w:type="pct"/>
          </w:tcPr>
          <w:p w14:paraId="1178D43E" w14:textId="5D3A74A6" w:rsidR="00B05FFB" w:rsidRPr="00C72A07" w:rsidRDefault="008C0AF6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review faculty speaker nominations, and identify </w:t>
            </w:r>
            <w:r>
              <w:rPr>
                <w:rFonts w:ascii="Cambria" w:hAnsi="Cambria"/>
                <w:sz w:val="20"/>
                <w:lang w:bidi="x-none"/>
              </w:rPr>
              <w:lastRenderedPageBreak/>
              <w:t>nominations from their division.</w:t>
            </w:r>
          </w:p>
        </w:tc>
      </w:tr>
      <w:tr w:rsidR="00756408" w:rsidRPr="00467A99" w14:paraId="24835BFE" w14:textId="77777777" w:rsidTr="00AD26F5">
        <w:tc>
          <w:tcPr>
            <w:tcW w:w="1317" w:type="pct"/>
          </w:tcPr>
          <w:p w14:paraId="1F840683" w14:textId="688C22B0" w:rsidR="00724B59" w:rsidRDefault="00C50382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Administrative</w:t>
            </w:r>
            <w:r w:rsidR="00AA6F52">
              <w:rPr>
                <w:rFonts w:ascii="Cambria" w:hAnsi="Cambria"/>
                <w:sz w:val="22"/>
                <w:lang w:bidi="x-none"/>
              </w:rPr>
              <w:t>/Classified Hiring Procedures</w:t>
            </w:r>
          </w:p>
        </w:tc>
        <w:tc>
          <w:tcPr>
            <w:tcW w:w="1628" w:type="pct"/>
          </w:tcPr>
          <w:p w14:paraId="6E75AD97" w14:textId="77777777" w:rsidR="00724B59" w:rsidRDefault="00267B03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proofErr w:type="spellStart"/>
            <w:r w:rsidRPr="00267B03">
              <w:rPr>
                <w:rFonts w:ascii="Cambria" w:hAnsi="Cambria"/>
                <w:sz w:val="20"/>
                <w:szCs w:val="20"/>
                <w:lang w:bidi="x-none"/>
              </w:rPr>
              <w:t>Fac</w:t>
            </w:r>
            <w:proofErr w:type="spellEnd"/>
            <w:r w:rsidRPr="00267B03">
              <w:rPr>
                <w:rFonts w:ascii="Cambria" w:hAnsi="Cambria"/>
                <w:sz w:val="20"/>
                <w:szCs w:val="20"/>
                <w:lang w:bidi="x-none"/>
              </w:rPr>
              <w:t xml:space="preserve"> vs Admin </w:t>
            </w:r>
            <w:proofErr w:type="gramStart"/>
            <w:r w:rsidRPr="00267B03">
              <w:rPr>
                <w:rFonts w:ascii="Cambria" w:hAnsi="Cambria"/>
                <w:sz w:val="20"/>
                <w:szCs w:val="20"/>
                <w:lang w:bidi="x-none"/>
              </w:rPr>
              <w:t>Hiring[</w:t>
            </w:r>
            <w:proofErr w:type="gramEnd"/>
            <w:r w:rsidRPr="00267B03">
              <w:rPr>
                <w:rFonts w:ascii="Cambria" w:hAnsi="Cambria"/>
                <w:sz w:val="20"/>
                <w:szCs w:val="20"/>
                <w:lang w:bidi="x-none"/>
              </w:rPr>
              <w:t>10]</w:t>
            </w:r>
          </w:p>
          <w:p w14:paraId="6D8A0827" w14:textId="77777777" w:rsidR="00267B03" w:rsidRDefault="00267B03" w:rsidP="00267B03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</w:rPr>
            </w:pPr>
          </w:p>
          <w:p w14:paraId="33917032" w14:textId="77777777" w:rsidR="00267B03" w:rsidRDefault="00267B03" w:rsidP="00267B03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</w:rPr>
            </w:pPr>
            <w:r w:rsidRPr="00267B03">
              <w:rPr>
                <w:rFonts w:ascii="Cambria" w:hAnsi="Cambria"/>
                <w:sz w:val="20"/>
                <w:szCs w:val="20"/>
              </w:rPr>
              <w:t>Classified Hiring Procedures-13[6]</w:t>
            </w:r>
          </w:p>
          <w:p w14:paraId="26FA8CE2" w14:textId="3570A075" w:rsidR="00267B03" w:rsidRPr="005E73D8" w:rsidRDefault="00267B03" w:rsidP="005E73D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681" w:type="pct"/>
          </w:tcPr>
          <w:p w14:paraId="74FB83E7" w14:textId="0B65B0AF" w:rsidR="00724B59" w:rsidRDefault="00F40BB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506" w:type="pct"/>
          </w:tcPr>
          <w:p w14:paraId="700031E5" w14:textId="3A332F55" w:rsidR="00724B59" w:rsidRDefault="00724B59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8" w:type="pct"/>
          </w:tcPr>
          <w:p w14:paraId="52871D7E" w14:textId="3F422009" w:rsidR="00724B59" w:rsidRDefault="00E84CDC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to provide feedback</w:t>
            </w:r>
            <w:r w:rsidR="00AD26F5">
              <w:rPr>
                <w:rFonts w:ascii="Cambria" w:hAnsi="Cambria"/>
                <w:sz w:val="20"/>
                <w:lang w:bidi="x-none"/>
              </w:rPr>
              <w:t xml:space="preserve"> regarding hiring procedures; understand next steps.</w:t>
            </w:r>
          </w:p>
        </w:tc>
      </w:tr>
      <w:tr w:rsidR="00756408" w:rsidRPr="00467A99" w14:paraId="72D224CD" w14:textId="24674420" w:rsidTr="00AD26F5">
        <w:tc>
          <w:tcPr>
            <w:tcW w:w="1317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1628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06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868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4F2000AA" w14:textId="18DE8EFD" w:rsidTr="00AD26F5">
        <w:tc>
          <w:tcPr>
            <w:tcW w:w="1317" w:type="pct"/>
          </w:tcPr>
          <w:p w14:paraId="0818F7CB" w14:textId="15B5E64E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51D5F4A" w14:textId="12E4CC81" w:rsidR="007048D0" w:rsidRDefault="008C0AF6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Part Time Faculty Celebration</w:t>
            </w:r>
          </w:p>
          <w:p w14:paraId="6E86350C" w14:textId="77777777" w:rsidR="008C0AF6" w:rsidRDefault="003810BD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Program Review</w:t>
            </w:r>
          </w:p>
          <w:p w14:paraId="675A7E8D" w14:textId="7E50F435" w:rsidR="003810BD" w:rsidRPr="001C3429" w:rsidRDefault="003810BD" w:rsidP="001C3429">
            <w:pPr>
              <w:pStyle w:val="ListParagraph"/>
              <w:numPr>
                <w:ilvl w:val="1"/>
                <w:numId w:val="4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 Representation</w:t>
            </w:r>
          </w:p>
          <w:p w14:paraId="47202281" w14:textId="70DB0355" w:rsidR="00B05FFB" w:rsidRPr="009E5D82" w:rsidRDefault="00B05FFB" w:rsidP="008E4E17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628" w:type="pct"/>
          </w:tcPr>
          <w:p w14:paraId="3CD0A4DD" w14:textId="2369BDB0" w:rsidR="00756408" w:rsidRPr="00756408" w:rsidRDefault="00756408" w:rsidP="00756408">
            <w:pPr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Pa</w:t>
            </w:r>
            <w:r>
              <w:rPr>
                <w:rFonts w:ascii="Cambria" w:hAnsi="Cambria"/>
                <w:sz w:val="20"/>
                <w:szCs w:val="20"/>
                <w:lang w:bidi="x-none"/>
              </w:rPr>
              <w:t>rt Time Faculty Celebration RSVP</w:t>
            </w:r>
          </w:p>
          <w:p w14:paraId="159B99E3" w14:textId="77777777" w:rsidR="00756408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  <w:hyperlink r:id="rId5" w:history="1">
              <w:r w:rsidRPr="00A82C07">
                <w:rPr>
                  <w:rStyle w:val="Hyperlink"/>
                  <w:rFonts w:ascii="Cambria" w:hAnsi="Cambria"/>
                  <w:sz w:val="20"/>
                  <w:szCs w:val="20"/>
                  <w:lang w:bidi="x-none"/>
                </w:rPr>
                <w:t>https://</w:t>
              </w:r>
              <w:proofErr w:type="spellStart"/>
              <w:r w:rsidRPr="00A82C07">
                <w:rPr>
                  <w:rStyle w:val="Hyperlink"/>
                  <w:rFonts w:ascii="Cambria" w:hAnsi="Cambria"/>
                  <w:sz w:val="20"/>
                  <w:szCs w:val="20"/>
                  <w:lang w:bidi="x-none"/>
                </w:rPr>
                <w:t>www.surveymonkey.com</w:t>
              </w:r>
              <w:proofErr w:type="spellEnd"/>
              <w:r w:rsidRPr="00A82C07">
                <w:rPr>
                  <w:rStyle w:val="Hyperlink"/>
                  <w:rFonts w:ascii="Cambria" w:hAnsi="Cambria"/>
                  <w:sz w:val="20"/>
                  <w:szCs w:val="20"/>
                  <w:lang w:bidi="x-none"/>
                </w:rPr>
                <w:t>/r/JHYD5QC</w:t>
              </w:r>
            </w:hyperlink>
          </w:p>
          <w:p w14:paraId="38C0F5DC" w14:textId="77777777" w:rsidR="00756408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28B98E6" w14:textId="261EFBB0" w:rsidR="00756408" w:rsidRPr="0079183D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681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06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68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756408" w:rsidRPr="00467A99" w14:paraId="6FDDB84D" w14:textId="49CA32D5" w:rsidTr="00AD26F5">
        <w:tc>
          <w:tcPr>
            <w:tcW w:w="1317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628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81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06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8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60AEE043" w14:textId="3519E57D" w:rsidR="008612D4" w:rsidRPr="008612D4" w:rsidRDefault="008612D4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>
        <w:rPr>
          <w:rFonts w:ascii="Cambria" w:hAnsi="Cambria"/>
          <w:sz w:val="20"/>
          <w:szCs w:val="20"/>
          <w:lang w:bidi="x-none"/>
        </w:rPr>
        <w:t>ASdraftminutes4-15</w:t>
      </w:r>
      <w:r w:rsidRPr="009629FF">
        <w:rPr>
          <w:rFonts w:ascii="Cambria" w:hAnsi="Cambria"/>
          <w:sz w:val="20"/>
          <w:szCs w:val="20"/>
          <w:lang w:bidi="x-none"/>
        </w:rPr>
        <w:t>-18</w:t>
      </w:r>
    </w:p>
    <w:p w14:paraId="4F535270" w14:textId="77777777" w:rsidR="005E73D8" w:rsidRPr="008612D4" w:rsidRDefault="005E73D8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8612D4">
        <w:rPr>
          <w:rFonts w:ascii="Cambria" w:hAnsi="Cambria"/>
          <w:sz w:val="20"/>
          <w:szCs w:val="20"/>
          <w:lang w:bidi="x-none"/>
        </w:rPr>
        <w:t>VfS_Goals_1_to_4_AcaSenate</w:t>
      </w:r>
    </w:p>
    <w:p w14:paraId="282C84E1" w14:textId="4F4CFFD8" w:rsidR="00B33FB6" w:rsidRDefault="008612D4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724B59">
        <w:rPr>
          <w:rFonts w:ascii="Cambria" w:hAnsi="Cambria"/>
          <w:sz w:val="20"/>
          <w:szCs w:val="20"/>
          <w:lang w:bidi="x-none"/>
        </w:rPr>
        <w:t>Equity Plan Presentation (April 2019 v2)</w:t>
      </w:r>
    </w:p>
    <w:p w14:paraId="319F99D7" w14:textId="70A8051F" w:rsidR="00F40BBB" w:rsidRPr="00267B03" w:rsidRDefault="00F40BBB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267B03">
        <w:rPr>
          <w:rFonts w:ascii="Cambria" w:hAnsi="Cambria"/>
          <w:sz w:val="20"/>
          <w:szCs w:val="20"/>
          <w:lang w:bidi="x-none"/>
        </w:rPr>
        <w:t>ASFC-</w:t>
      </w:r>
      <w:proofErr w:type="spellStart"/>
      <w:r w:rsidRPr="00267B03">
        <w:rPr>
          <w:rFonts w:ascii="Cambria" w:hAnsi="Cambria"/>
          <w:sz w:val="20"/>
          <w:szCs w:val="20"/>
          <w:lang w:bidi="x-none"/>
        </w:rPr>
        <w:t>CommencementNominations</w:t>
      </w:r>
      <w:proofErr w:type="spellEnd"/>
    </w:p>
    <w:p w14:paraId="448C5EBC" w14:textId="50D3FCA4" w:rsidR="00D038DD" w:rsidRDefault="00267B03" w:rsidP="00D14B24">
      <w:pPr>
        <w:tabs>
          <w:tab w:val="left" w:pos="360"/>
        </w:tabs>
        <w:rPr>
          <w:rFonts w:ascii="Cambria" w:hAnsi="Cambria"/>
          <w:sz w:val="20"/>
          <w:szCs w:val="20"/>
        </w:rPr>
      </w:pPr>
      <w:r w:rsidRPr="00267B03">
        <w:rPr>
          <w:rFonts w:ascii="Cambria" w:hAnsi="Cambria"/>
          <w:sz w:val="20"/>
          <w:szCs w:val="20"/>
        </w:rPr>
        <w:t>Classified Hiring Procedures-13[6]</w:t>
      </w:r>
    </w:p>
    <w:p w14:paraId="19696671" w14:textId="77777777" w:rsidR="00267B03" w:rsidRDefault="00267B03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proofErr w:type="spellStart"/>
      <w:r w:rsidRPr="00267B03">
        <w:rPr>
          <w:rFonts w:ascii="Cambria" w:hAnsi="Cambria"/>
          <w:sz w:val="20"/>
          <w:szCs w:val="20"/>
          <w:lang w:bidi="x-none"/>
        </w:rPr>
        <w:t>Fac</w:t>
      </w:r>
      <w:proofErr w:type="spellEnd"/>
      <w:r w:rsidRPr="00267B03">
        <w:rPr>
          <w:rFonts w:ascii="Cambria" w:hAnsi="Cambria"/>
          <w:sz w:val="20"/>
          <w:szCs w:val="20"/>
          <w:lang w:bidi="x-none"/>
        </w:rPr>
        <w:t xml:space="preserve"> vs Admin </w:t>
      </w:r>
      <w:proofErr w:type="gramStart"/>
      <w:r w:rsidRPr="00267B03">
        <w:rPr>
          <w:rFonts w:ascii="Cambria" w:hAnsi="Cambria"/>
          <w:sz w:val="20"/>
          <w:szCs w:val="20"/>
          <w:lang w:bidi="x-none"/>
        </w:rPr>
        <w:t>Hiring[</w:t>
      </w:r>
      <w:proofErr w:type="gramEnd"/>
      <w:r w:rsidRPr="00267B03">
        <w:rPr>
          <w:rFonts w:ascii="Cambria" w:hAnsi="Cambria"/>
          <w:sz w:val="20"/>
          <w:szCs w:val="20"/>
          <w:lang w:bidi="x-none"/>
        </w:rPr>
        <w:t>10]</w:t>
      </w:r>
    </w:p>
    <w:p w14:paraId="6F8FFBF6" w14:textId="77777777" w:rsidR="00267B03" w:rsidRDefault="00267B03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bookmarkStart w:id="0" w:name="_GoBack"/>
      <w:bookmarkEnd w:id="0"/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177F284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319F9310" w14:textId="2B20C939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4C07965D" w14:textId="77777777" w:rsidR="00B5313E" w:rsidRPr="003F7725" w:rsidRDefault="00B5313E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35C5AD9" w14:textId="2E79E3CF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7B1CAD">
        <w:rPr>
          <w:rFonts w:asciiTheme="minorHAnsi" w:hAnsiTheme="minorHAnsi"/>
          <w:sz w:val="22"/>
          <w:szCs w:val="22"/>
        </w:rPr>
        <w:t xml:space="preserve">. </w:t>
      </w:r>
    </w:p>
    <w:p w14:paraId="45D91F37" w14:textId="02B5861A" w:rsidR="00CF13CF" w:rsidRDefault="008E4E17" w:rsidP="003810BD">
      <w:pPr>
        <w:tabs>
          <w:tab w:val="left" w:pos="404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Budget Advisory Committee</w:t>
      </w:r>
      <w:r w:rsidR="003810BD">
        <w:rPr>
          <w:rFonts w:asciiTheme="minorHAnsi" w:hAnsiTheme="minorHAnsi"/>
          <w:sz w:val="22"/>
          <w:szCs w:val="22"/>
        </w:rPr>
        <w:tab/>
      </w:r>
    </w:p>
    <w:p w14:paraId="08E635D7" w14:textId="02AC3AE6" w:rsidR="003810BD" w:rsidRDefault="003810BD" w:rsidP="003810BD">
      <w:pPr>
        <w:tabs>
          <w:tab w:val="left" w:pos="404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Dual Enrollment Coordinator (interviews in late May)</w:t>
      </w:r>
    </w:p>
    <w:p w14:paraId="1EDFB7B2" w14:textId="78047E9A" w:rsidR="007B1CAD" w:rsidRDefault="007B1CA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lastRenderedPageBreak/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8E4E17" w:rsidRDefault="007F04DE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8E4E17">
              <w:rPr>
                <w:rFonts w:ascii="Cambria" w:eastAsia="Cambria" w:hAnsi="Cambria" w:cs="Cambria"/>
                <w:strike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D6214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4/8</w:t>
            </w:r>
            <w:r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C41DCB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72BF9E22" w14:textId="6A59500D" w:rsidR="006419B0" w:rsidRPr="00CC0E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15</w:t>
            </w:r>
            <w:r w:rsidR="00C41DCB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3F5B3A94" w:rsidR="006419B0" w:rsidRPr="001A595A" w:rsidRDefault="008E4E17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6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1EE1C8E3" w14:textId="3FE3E419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79E8CDFA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2F353E"/>
          <w:sz w:val="21"/>
          <w:szCs w:val="21"/>
        </w:rPr>
        <w:t>May 3,</w:t>
      </w:r>
      <w:r>
        <w:rPr>
          <w:rStyle w:val="apple-converted-space"/>
          <w:rFonts w:ascii="Arial" w:hAnsi="Arial" w:cs="Arial"/>
          <w:color w:val="2F353E"/>
          <w:sz w:val="21"/>
          <w:szCs w:val="21"/>
        </w:rPr>
        <w:t> </w:t>
      </w:r>
      <w:hyperlink r:id="rId7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CTE Minimum Qualification Regional Meeting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 Reedley College</w:t>
      </w:r>
    </w:p>
    <w:p w14:paraId="01FE6113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10A"/>
          <w:sz w:val="21"/>
          <w:szCs w:val="21"/>
        </w:rPr>
        <w:t>May 4,</w:t>
      </w:r>
      <w:r>
        <w:rPr>
          <w:rStyle w:val="apple-converted-space"/>
          <w:rFonts w:ascii="Arial" w:hAnsi="Arial" w:cs="Arial"/>
          <w:color w:val="01010A"/>
          <w:sz w:val="21"/>
          <w:szCs w:val="21"/>
        </w:rPr>
        <w:t> </w:t>
      </w:r>
      <w:hyperlink r:id="rId8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OER Mathematics Regional Meeting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</w:t>
      </w:r>
      <w:r>
        <w:rPr>
          <w:rStyle w:val="font-sans-serif"/>
          <w:rFonts w:ascii="Arial" w:hAnsi="Arial" w:cs="Arial"/>
          <w:color w:val="01010A"/>
          <w:sz w:val="21"/>
          <w:szCs w:val="21"/>
        </w:rPr>
        <w:t> Solano College </w:t>
      </w:r>
    </w:p>
    <w:p w14:paraId="7B84640C" w14:textId="1F3BBC7F" w:rsidR="00CC0E61" w:rsidRP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10A"/>
          <w:sz w:val="21"/>
          <w:szCs w:val="21"/>
        </w:rPr>
        <w:t>May 8, </w:t>
      </w:r>
      <w:hyperlink r:id="rId9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CTE Minimum Qualification Regional Meeting</w:t>
        </w:r>
      </w:hyperlink>
      <w:r>
        <w:rPr>
          <w:rStyle w:val="font-sans-serif"/>
          <w:rFonts w:ascii="Arial" w:hAnsi="Arial" w:cs="Arial"/>
          <w:color w:val="01010A"/>
          <w:sz w:val="21"/>
          <w:szCs w:val="21"/>
        </w:rPr>
        <w:t>, Moorpark College</w:t>
      </w:r>
    </w:p>
    <w:p w14:paraId="20FF218A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2F353E"/>
          <w:sz w:val="21"/>
          <w:szCs w:val="21"/>
        </w:rPr>
        <w:t>May 10, </w:t>
      </w:r>
      <w:hyperlink r:id="rId10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C-ID: Discipline Input Group Meeting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 Millbrae</w:t>
      </w:r>
    </w:p>
    <w:p w14:paraId="4E32CE84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2F353E"/>
          <w:sz w:val="21"/>
          <w:szCs w:val="21"/>
        </w:rPr>
        <w:t>Jun. 13-15, </w:t>
      </w:r>
      <w:hyperlink r:id="rId11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Facult</w:t>
        </w:r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y</w:t>
        </w:r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 xml:space="preserve"> Leadership Institute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 Sacramento</w:t>
      </w:r>
    </w:p>
    <w:p w14:paraId="0E297134" w14:textId="77777777" w:rsidR="00CC0E61" w:rsidRDefault="00CC0E61" w:rsidP="00CC0E61">
      <w:pPr>
        <w:numPr>
          <w:ilvl w:val="0"/>
          <w:numId w:val="21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2F353E"/>
          <w:sz w:val="21"/>
          <w:szCs w:val="21"/>
        </w:rPr>
        <w:t>Jul. 10-13, </w:t>
      </w:r>
      <w:hyperlink r:id="rId12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Curriculum Institute</w:t>
        </w:r>
      </w:hyperlink>
      <w:r>
        <w:rPr>
          <w:rStyle w:val="font-sans-serif"/>
          <w:rFonts w:ascii="Arial" w:hAnsi="Arial" w:cs="Arial"/>
          <w:color w:val="2F353E"/>
          <w:sz w:val="21"/>
          <w:szCs w:val="21"/>
        </w:rPr>
        <w:t>, Burlingame</w:t>
      </w:r>
      <w:r>
        <w:rPr>
          <w:rStyle w:val="font-sans-serif"/>
          <w:rFonts w:ascii="Arial" w:hAnsi="Arial" w:cs="Arial"/>
          <w:color w:val="8E8E8E"/>
          <w:sz w:val="21"/>
          <w:szCs w:val="21"/>
        </w:rPr>
        <w:t>​​</w:t>
      </w:r>
    </w:p>
    <w:p w14:paraId="68915FF3" w14:textId="66E883CC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22C48C8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</w:t>
      </w:r>
      <w:proofErr w:type="spellStart"/>
      <w:r w:rsidR="00295105">
        <w:rPr>
          <w:rFonts w:ascii="Cambria" w:hAnsi="Cambria"/>
        </w:rPr>
        <w:t>Sunseri</w:t>
      </w:r>
      <w:proofErr w:type="spellEnd"/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 w:rsidR="00BA3302">
        <w:rPr>
          <w:rFonts w:asciiTheme="minorHAnsi" w:hAnsiTheme="minorHAnsi" w:cs="Times"/>
        </w:rPr>
        <w:t xml:space="preserve">Matthew </w:t>
      </w:r>
      <w:proofErr w:type="spellStart"/>
      <w:r w:rsidR="00BA3302">
        <w:rPr>
          <w:rFonts w:asciiTheme="minorHAnsi" w:hAnsiTheme="minorHAnsi" w:cs="Times"/>
        </w:rPr>
        <w:t>Litrus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8A"/>
    <w:multiLevelType w:val="multilevel"/>
    <w:tmpl w:val="751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8"/>
  </w:num>
  <w:num w:numId="10">
    <w:abstractNumId w:val="12"/>
  </w:num>
  <w:num w:numId="11">
    <w:abstractNumId w:val="10"/>
  </w:num>
  <w:num w:numId="12">
    <w:abstractNumId w:val="16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19"/>
  </w:num>
  <w:num w:numId="18">
    <w:abstractNumId w:val="2"/>
  </w:num>
  <w:num w:numId="19">
    <w:abstractNumId w:val="2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429"/>
    <w:rsid w:val="001C3B30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23CA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1A9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67B03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08FD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0BD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5E03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3D8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2F05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8D0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4B59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40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2D4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0AF6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E4E17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216E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1B13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6F52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6F5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A3302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4D4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382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193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132E"/>
    <w:rsid w:val="00CB319B"/>
    <w:rsid w:val="00CB3859"/>
    <w:rsid w:val="00CB6608"/>
    <w:rsid w:val="00CB790E"/>
    <w:rsid w:val="00CB7AD9"/>
    <w:rsid w:val="00CC0E61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14A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4CD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0BBB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8B8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3D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  <w:style w:type="character" w:customStyle="1" w:styleId="font-sans-serif">
    <w:name w:val="font-sans-serif"/>
    <w:basedOn w:val="DefaultParagraphFont"/>
    <w:rsid w:val="00CC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academicsenate.cmail19.com_t_y-2Dl-2Dullythl-2Dthjjljktky-2Dtl_&amp;d=DwMFaQ&amp;c=WORo6LNFtQOb4SPVta8Jsg&amp;r=a2OYrz8st-XLRY046tm-36Xt-CrvMxm04iPslaexJho&amp;m=bKXXFvFbynR76R57Yxnr1n08Bdy4fPY4mByg5ZEf1W4&amp;s=lOHkoRsSSfnCh5zhozi6MQ2F4KfUlbDlNCkdu7Lh0vI&amp;e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academicsenate.cmail19.com_t_y-2Dl-2Dullythl-2Dthjjljktky-2Djk_&amp;d=DwMFaQ&amp;c=WORo6LNFtQOb4SPVta8Jsg&amp;r=a2OYrz8st-XLRY046tm-36Xt-CrvMxm04iPslaexJho&amp;m=bKXXFvFbynR76R57Yxnr1n08Bdy4fPY4mByg5ZEf1W4&amp;s=yi-ybCvi2R7FyXZ-1SO4UUylOCuVJHT57lUE6raR2ps&amp;e=" TargetMode="External"/><Relationship Id="rId12" Type="http://schemas.openxmlformats.org/officeDocument/2006/relationships/hyperlink" Target="https://urldefense.proofpoint.com/v2/url?u=https-3A__academicsenate.cmail19.com_t_y-2Dl-2Dullythl-2Dthjjljktky-2Dtd_&amp;d=DwMFaQ&amp;c=WORo6LNFtQOb4SPVta8Jsg&amp;r=a2OYrz8st-XLRY046tm-36Xt-CrvMxm04iPslaexJho&amp;m=bKXXFvFbynR76R57Yxnr1n08Bdy4fPY4mByg5ZEf1W4&amp;s=G6fYmn3-qaI1FqhDRZEsUp41c0NAtOzoVXAle0MKjEw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cc.org/signup-newsletters" TargetMode="External"/><Relationship Id="rId11" Type="http://schemas.openxmlformats.org/officeDocument/2006/relationships/hyperlink" Target="https://urldefense.proofpoint.com/v2/url?u=https-3A__academicsenate.cmail19.com_t_y-2Dl-2Dullythl-2Dthjjljktky-2Dti_&amp;d=DwMFaQ&amp;c=WORo6LNFtQOb4SPVta8Jsg&amp;r=a2OYrz8st-XLRY046tm-36Xt-CrvMxm04iPslaexJho&amp;m=bKXXFvFbynR76R57Yxnr1n08Bdy4fPY4mByg5ZEf1W4&amp;s=D9VrEKGgapW9zNmiMxPX_s083gv9whUgaMPaATySrmU&amp;e=" TargetMode="External"/><Relationship Id="rId5" Type="http://schemas.openxmlformats.org/officeDocument/2006/relationships/hyperlink" Target="https://www.surveymonkey.com/r/JHYD5QC" TargetMode="External"/><Relationship Id="rId10" Type="http://schemas.openxmlformats.org/officeDocument/2006/relationships/hyperlink" Target="https://urldefense.proofpoint.com/v2/url?u=https-3A__academicsenate.cmail19.com_t_y-2Dl-2Dullythl-2Dthjjljktky-2Dtj_&amp;d=DwMFaQ&amp;c=WORo6LNFtQOb4SPVta8Jsg&amp;r=a2OYrz8st-XLRY046tm-36Xt-CrvMxm04iPslaexJho&amp;m=bKXXFvFbynR76R57Yxnr1n08Bdy4fPY4mByg5ZEf1W4&amp;s=kpJLVkF2of1eC0P0PaxhxcmbnIBwT8nyXX9RrKtR5SY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academicsenate.cmail19.com_t_y-2Dl-2Dullythl-2Dthjjljktky-2Dtr_&amp;d=DwMFaQ&amp;c=WORo6LNFtQOb4SPVta8Jsg&amp;r=a2OYrz8st-XLRY046tm-36Xt-CrvMxm04iPslaexJho&amp;m=bKXXFvFbynR76R57Yxnr1n08Bdy4fPY4mByg5ZEf1W4&amp;s=ip86rG9TtOoze3FfPZ23gR42k82SrcxkoS6jQfjV_zs&amp;e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6863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9</cp:revision>
  <cp:lastPrinted>2019-04-08T20:38:00Z</cp:lastPrinted>
  <dcterms:created xsi:type="dcterms:W3CDTF">2019-04-25T06:33:00Z</dcterms:created>
  <dcterms:modified xsi:type="dcterms:W3CDTF">2019-04-26T06:44:00Z</dcterms:modified>
  <cp:category/>
</cp:coreProperties>
</file>