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77777777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2E6F8744" w:rsidR="00844ADA" w:rsidRPr="00467A99" w:rsidRDefault="00C03354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November 5th</w:t>
      </w:r>
      <w:r w:rsidR="005E0CEC">
        <w:rPr>
          <w:rFonts w:ascii="Cambria" w:hAnsi="Cambria"/>
          <w:sz w:val="22"/>
        </w:rPr>
        <w:t xml:space="preserve"> 2018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844ADA" w:rsidRPr="00467A99">
        <w:rPr>
          <w:rFonts w:ascii="Cambria" w:hAnsi="Cambria"/>
          <w:sz w:val="22"/>
        </w:rPr>
        <w:t>Toyon Room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9"/>
        <w:gridCol w:w="2660"/>
        <w:gridCol w:w="1943"/>
        <w:gridCol w:w="1542"/>
        <w:gridCol w:w="2432"/>
      </w:tblGrid>
      <w:tr w:rsidR="00E81C9F" w:rsidRPr="00467A99" w14:paraId="0BE18DC1" w14:textId="6D2B53DF" w:rsidTr="004D0D2E">
        <w:tc>
          <w:tcPr>
            <w:tcW w:w="1829" w:type="pct"/>
          </w:tcPr>
          <w:p w14:paraId="71CE494D" w14:textId="77777777" w:rsidR="00E81C9F" w:rsidRPr="00467A99" w:rsidRDefault="00E81C9F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983" w:type="pct"/>
          </w:tcPr>
          <w:p w14:paraId="2680569F" w14:textId="68C85570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Attachments</w:t>
            </w:r>
          </w:p>
        </w:tc>
        <w:tc>
          <w:tcPr>
            <w:tcW w:w="718" w:type="pct"/>
          </w:tcPr>
          <w:p w14:paraId="11DF0151" w14:textId="49F3BC01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EE1EA2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899" w:type="pct"/>
          </w:tcPr>
          <w:p w14:paraId="323D8960" w14:textId="51B77396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E81C9F" w:rsidRPr="00467A99" w14:paraId="14C390FA" w14:textId="7DCBE8FC" w:rsidTr="004D0D2E">
        <w:tc>
          <w:tcPr>
            <w:tcW w:w="1829" w:type="pct"/>
          </w:tcPr>
          <w:p w14:paraId="6707CA93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983" w:type="pct"/>
          </w:tcPr>
          <w:p w14:paraId="07DA4482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0F362B6" w14:textId="2487C69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2A40D8A2" w14:textId="5BD4D922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899" w:type="pct"/>
          </w:tcPr>
          <w:p w14:paraId="12B605D5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52BB6181" w14:textId="6C0A80A3" w:rsidTr="004D0D2E">
        <w:tc>
          <w:tcPr>
            <w:tcW w:w="1829" w:type="pct"/>
          </w:tcPr>
          <w:p w14:paraId="2D9D7D4B" w14:textId="77777777" w:rsidR="00E81C9F" w:rsidRPr="00467A99" w:rsidRDefault="00E81C9F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983" w:type="pct"/>
          </w:tcPr>
          <w:p w14:paraId="47906171" w14:textId="77777777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0DDC821D" w14:textId="5B82E4CD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225C8733" w14:textId="31B830DC" w:rsidR="00E81C9F" w:rsidRPr="00467A99" w:rsidRDefault="0042261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Schae</w:t>
            </w:r>
            <w:r w:rsidR="00E81C9F">
              <w:rPr>
                <w:rFonts w:ascii="Cambria" w:hAnsi="Cambria"/>
                <w:sz w:val="22"/>
                <w:lang w:bidi="x-none"/>
              </w:rPr>
              <w:t>fers</w:t>
            </w:r>
          </w:p>
        </w:tc>
        <w:tc>
          <w:tcPr>
            <w:tcW w:w="899" w:type="pct"/>
          </w:tcPr>
          <w:p w14:paraId="69F5D942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4FEF3600" w14:textId="77777777" w:rsidTr="004D0D2E">
        <w:tc>
          <w:tcPr>
            <w:tcW w:w="1829" w:type="pct"/>
          </w:tcPr>
          <w:p w14:paraId="21395E5F" w14:textId="26F78F85" w:rsidR="00E81C9F" w:rsidRPr="00467A99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983" w:type="pct"/>
          </w:tcPr>
          <w:p w14:paraId="078D0ECC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0E617A3" w14:textId="08F70525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62599BE" w14:textId="77777777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6B87B31C" w14:textId="77777777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E81C9F" w:rsidRPr="00467A99" w14:paraId="2E681B68" w14:textId="77777777" w:rsidTr="004D0D2E">
        <w:tc>
          <w:tcPr>
            <w:tcW w:w="1829" w:type="pct"/>
          </w:tcPr>
          <w:p w14:paraId="208B232A" w14:textId="5BBADCC0" w:rsidR="00E81C9F" w:rsidRDefault="00E81C9F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983" w:type="pct"/>
          </w:tcPr>
          <w:p w14:paraId="698B5706" w14:textId="77777777" w:rsidR="00E81C9F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14D0D475" w14:textId="497D5DFC" w:rsidR="00E81C9F" w:rsidRPr="00467A99" w:rsidRDefault="00E81C9F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570" w:type="pct"/>
          </w:tcPr>
          <w:p w14:paraId="2A7349F2" w14:textId="1CE7BE7F" w:rsidR="00E81C9F" w:rsidRPr="00467A99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99" w:type="pct"/>
          </w:tcPr>
          <w:p w14:paraId="23E8A0A8" w14:textId="1D996BB2" w:rsidR="00E81C9F" w:rsidRPr="00C72A07" w:rsidRDefault="00E81C9F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 w:rsidRPr="00C72A07">
              <w:rPr>
                <w:rFonts w:ascii="Cambria" w:hAnsi="Cambria"/>
                <w:sz w:val="20"/>
                <w:lang w:bidi="x-none"/>
              </w:rPr>
              <w:t>Members of the public may address the senate re: items not on the agenda</w:t>
            </w:r>
          </w:p>
        </w:tc>
      </w:tr>
      <w:tr w:rsidR="00CE4F61" w:rsidRPr="00467A99" w14:paraId="638288B1" w14:textId="179CB67C" w:rsidTr="004D0D2E">
        <w:tc>
          <w:tcPr>
            <w:tcW w:w="1829" w:type="pct"/>
          </w:tcPr>
          <w:p w14:paraId="7998719E" w14:textId="77662560" w:rsidR="00CE4F61" w:rsidRPr="00E808D3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983" w:type="pct"/>
          </w:tcPr>
          <w:p w14:paraId="23593C05" w14:textId="1E8F5BD4" w:rsidR="00CE4F61" w:rsidRPr="00467A99" w:rsidRDefault="00C03354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ASdraftminutes10-29</w:t>
            </w:r>
            <w:r w:rsidR="00CE4F61">
              <w:rPr>
                <w:rFonts w:ascii="Cambria" w:hAnsi="Cambria"/>
                <w:sz w:val="22"/>
                <w:lang w:bidi="x-none"/>
              </w:rPr>
              <w:t>-18</w:t>
            </w:r>
          </w:p>
        </w:tc>
        <w:tc>
          <w:tcPr>
            <w:tcW w:w="718" w:type="pct"/>
          </w:tcPr>
          <w:p w14:paraId="684BBFD8" w14:textId="2196702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04379602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99" w:type="pct"/>
          </w:tcPr>
          <w:p w14:paraId="72117009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651D921F" w14:textId="220403EE" w:rsidTr="004D0D2E">
        <w:tc>
          <w:tcPr>
            <w:tcW w:w="1829" w:type="pct"/>
          </w:tcPr>
          <w:p w14:paraId="21C2D076" w14:textId="77777777" w:rsidR="00CE4F61" w:rsidRPr="00467A99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983" w:type="pct"/>
          </w:tcPr>
          <w:p w14:paraId="586843E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49C3F065" w14:textId="316059F8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570" w:type="pct"/>
          </w:tcPr>
          <w:p w14:paraId="3F1A0AD0" w14:textId="77777777" w:rsidR="00CE4F61" w:rsidRPr="00467A99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899" w:type="pct"/>
          </w:tcPr>
          <w:p w14:paraId="0F178247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CE4F61" w:rsidRPr="00467A99" w14:paraId="5E4F59EE" w14:textId="13ED95D8" w:rsidTr="004D0D2E">
        <w:tc>
          <w:tcPr>
            <w:tcW w:w="1829" w:type="pct"/>
          </w:tcPr>
          <w:p w14:paraId="3A7B90D2" w14:textId="48F1F6A5" w:rsidR="00CE4F61" w:rsidRDefault="00CE4F61" w:rsidP="00CE4F6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Unfinished Business (10+1 area(s) indicated): </w:t>
            </w:r>
          </w:p>
        </w:tc>
        <w:tc>
          <w:tcPr>
            <w:tcW w:w="983" w:type="pct"/>
          </w:tcPr>
          <w:p w14:paraId="43719840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16F8ECC" w14:textId="3300DED6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570" w:type="pct"/>
          </w:tcPr>
          <w:p w14:paraId="09D57DFF" w14:textId="77777777" w:rsidR="00CE4F61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1C9A2DDA" w14:textId="77777777" w:rsidR="00CE4F61" w:rsidRPr="00C72A07" w:rsidRDefault="00CE4F61" w:rsidP="00CE4F6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7CDD243E" w14:textId="77777777" w:rsidTr="004D0D2E">
        <w:tc>
          <w:tcPr>
            <w:tcW w:w="1829" w:type="pct"/>
          </w:tcPr>
          <w:p w14:paraId="3A8476E8" w14:textId="1DF81859" w:rsidR="00F267F3" w:rsidRDefault="00F267F3" w:rsidP="00F267F3">
            <w:p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a.     Senate Scholarships</w:t>
            </w:r>
          </w:p>
        </w:tc>
        <w:tc>
          <w:tcPr>
            <w:tcW w:w="983" w:type="pct"/>
          </w:tcPr>
          <w:p w14:paraId="6E7F0592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AS_Scholarships_1819</w:t>
            </w:r>
          </w:p>
          <w:p w14:paraId="06D26B1E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5164004A" w14:textId="64E1E54E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Discussion/Action</w:t>
            </w:r>
          </w:p>
        </w:tc>
        <w:tc>
          <w:tcPr>
            <w:tcW w:w="570" w:type="pct"/>
          </w:tcPr>
          <w:p w14:paraId="046BFF09" w14:textId="2CF42CF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899" w:type="pct"/>
          </w:tcPr>
          <w:p w14:paraId="3E23C22E" w14:textId="4311B93C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discuss/confirm senate scholarship details for 18-19</w:t>
            </w:r>
          </w:p>
        </w:tc>
      </w:tr>
      <w:tr w:rsidR="00F267F3" w:rsidRPr="00467A99" w14:paraId="6FF99003" w14:textId="61DDC861" w:rsidTr="004D0D2E">
        <w:tc>
          <w:tcPr>
            <w:tcW w:w="1829" w:type="pct"/>
          </w:tcPr>
          <w:p w14:paraId="393B143C" w14:textId="3B2CE852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 Business (10+1 area(s) indicated)</w:t>
            </w:r>
          </w:p>
        </w:tc>
        <w:tc>
          <w:tcPr>
            <w:tcW w:w="983" w:type="pct"/>
          </w:tcPr>
          <w:p w14:paraId="0020AC23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2A841C76" w14:textId="77EAA74A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4A9923A7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145D1652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6B071F46" w14:textId="77777777" w:rsidTr="004D0D2E">
        <w:tc>
          <w:tcPr>
            <w:tcW w:w="1829" w:type="pct"/>
          </w:tcPr>
          <w:p w14:paraId="6027FD80" w14:textId="71DDE49B" w:rsidR="00F267F3" w:rsidRPr="00156526" w:rsidRDefault="00F267F3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CCCCO Smoke Free Report</w:t>
            </w:r>
          </w:p>
        </w:tc>
        <w:tc>
          <w:tcPr>
            <w:tcW w:w="983" w:type="pct"/>
          </w:tcPr>
          <w:p w14:paraId="399326A4" w14:textId="33A4732D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54152B">
              <w:rPr>
                <w:rFonts w:ascii="Cambria" w:hAnsi="Cambria"/>
                <w:sz w:val="22"/>
                <w:lang w:bidi="x-none"/>
              </w:rPr>
              <w:t>CCCCOsmokefreereport</w:t>
            </w:r>
          </w:p>
        </w:tc>
        <w:tc>
          <w:tcPr>
            <w:tcW w:w="718" w:type="pct"/>
          </w:tcPr>
          <w:p w14:paraId="7934FF0C" w14:textId="1E2E3F5F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570" w:type="pct"/>
          </w:tcPr>
          <w:p w14:paraId="0129709D" w14:textId="4D89CB96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899" w:type="pct"/>
          </w:tcPr>
          <w:p w14:paraId="2DD1F740" w14:textId="756AA513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Body to recommend whether we want to prioritize district smoking policy discussion this year</w:t>
            </w:r>
          </w:p>
        </w:tc>
      </w:tr>
      <w:tr w:rsidR="00F267F3" w:rsidRPr="00467A99" w14:paraId="13B50FA2" w14:textId="13251A90" w:rsidTr="004D0D2E">
        <w:tc>
          <w:tcPr>
            <w:tcW w:w="1829" w:type="pct"/>
          </w:tcPr>
          <w:p w14:paraId="759F98B4" w14:textId="72C501FE" w:rsidR="00F267F3" w:rsidRDefault="00F267F3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Open Educational Resources</w:t>
            </w:r>
          </w:p>
        </w:tc>
        <w:tc>
          <w:tcPr>
            <w:tcW w:w="983" w:type="pct"/>
          </w:tcPr>
          <w:p w14:paraId="35246472" w14:textId="4341C7B3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06B23A83" w14:textId="12895F95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Discussion </w:t>
            </w:r>
          </w:p>
        </w:tc>
        <w:tc>
          <w:tcPr>
            <w:tcW w:w="570" w:type="pct"/>
          </w:tcPr>
          <w:p w14:paraId="6183ADF2" w14:textId="55B609A3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899" w:type="pct"/>
          </w:tcPr>
          <w:p w14:paraId="1178D43E" w14:textId="5E0B3139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learn of/discuss the Governance Council’s ask of the senate</w:t>
            </w:r>
          </w:p>
        </w:tc>
      </w:tr>
      <w:tr w:rsidR="00F267F3" w:rsidRPr="00467A99" w14:paraId="29760CF4" w14:textId="6372FE67" w:rsidTr="004D0D2E">
        <w:trPr>
          <w:trHeight w:val="296"/>
        </w:trPr>
        <w:tc>
          <w:tcPr>
            <w:tcW w:w="1829" w:type="pct"/>
          </w:tcPr>
          <w:p w14:paraId="686A4241" w14:textId="0188DB44" w:rsidR="00F267F3" w:rsidRDefault="00F267F3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Planning Resource Team (PRT) Visit </w:t>
            </w:r>
          </w:p>
        </w:tc>
        <w:tc>
          <w:tcPr>
            <w:tcW w:w="983" w:type="pct"/>
          </w:tcPr>
          <w:p w14:paraId="1E3F2E87" w14:textId="7A506949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4F7C9520" w14:textId="3D0B63F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70" w:type="pct"/>
          </w:tcPr>
          <w:p w14:paraId="1B0BA999" w14:textId="038A321F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Escoto</w:t>
            </w:r>
          </w:p>
        </w:tc>
        <w:tc>
          <w:tcPr>
            <w:tcW w:w="899" w:type="pct"/>
          </w:tcPr>
          <w:p w14:paraId="4D9691E1" w14:textId="2349B186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receive an update from the PRT visit on Oct 30th</w:t>
            </w:r>
          </w:p>
        </w:tc>
      </w:tr>
      <w:tr w:rsidR="00F267F3" w:rsidRPr="00467A99" w14:paraId="68C999B9" w14:textId="77777777" w:rsidTr="004D0D2E">
        <w:tc>
          <w:tcPr>
            <w:tcW w:w="1829" w:type="pct"/>
          </w:tcPr>
          <w:p w14:paraId="4B722CFD" w14:textId="3469A4BF" w:rsidR="00F267F3" w:rsidRPr="0066602B" w:rsidRDefault="00F267F3" w:rsidP="00F267F3">
            <w:pPr>
              <w:numPr>
                <w:ilvl w:val="1"/>
                <w:numId w:val="4"/>
              </w:numPr>
              <w:ind w:left="72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Fall Plenary </w:t>
            </w:r>
          </w:p>
        </w:tc>
        <w:tc>
          <w:tcPr>
            <w:tcW w:w="983" w:type="pct"/>
          </w:tcPr>
          <w:p w14:paraId="1024922E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7634CB6F" w14:textId="1553604E" w:rsidR="00F267F3" w:rsidRDefault="004A330E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70" w:type="pct"/>
          </w:tcPr>
          <w:p w14:paraId="626D663F" w14:textId="46921C0F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Officers</w:t>
            </w:r>
          </w:p>
        </w:tc>
        <w:tc>
          <w:tcPr>
            <w:tcW w:w="899" w:type="pct"/>
          </w:tcPr>
          <w:p w14:paraId="19F861B8" w14:textId="5CFEA135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Reps will hear updates/discussion points from the Fall 2018 Plenary Session</w:t>
            </w:r>
          </w:p>
        </w:tc>
      </w:tr>
      <w:tr w:rsidR="00F267F3" w:rsidRPr="00467A99" w14:paraId="72D224CD" w14:textId="24674420" w:rsidTr="004D0D2E">
        <w:tc>
          <w:tcPr>
            <w:tcW w:w="1829" w:type="pct"/>
          </w:tcPr>
          <w:p w14:paraId="5A263683" w14:textId="77777777" w:rsidR="00F267F3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Committee reports: </w:t>
            </w:r>
          </w:p>
          <w:p w14:paraId="7AF05215" w14:textId="02F92E90" w:rsidR="00F267F3" w:rsidRPr="00AE6A30" w:rsidRDefault="00F267F3" w:rsidP="00F267F3">
            <w:pPr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              Committee needs:</w:t>
            </w:r>
          </w:p>
        </w:tc>
        <w:tc>
          <w:tcPr>
            <w:tcW w:w="983" w:type="pct"/>
          </w:tcPr>
          <w:p w14:paraId="770BBD09" w14:textId="77777777" w:rsidR="00F267F3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7089FA9F" w14:textId="3AA2569F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</w:t>
            </w:r>
            <w:r w:rsidR="004A330E">
              <w:rPr>
                <w:rFonts w:ascii="Cambria" w:hAnsi="Cambria"/>
                <w:sz w:val="22"/>
                <w:lang w:bidi="x-none"/>
              </w:rPr>
              <w:t>rmation</w:t>
            </w:r>
          </w:p>
        </w:tc>
        <w:tc>
          <w:tcPr>
            <w:tcW w:w="570" w:type="pct"/>
          </w:tcPr>
          <w:p w14:paraId="2AE3737C" w14:textId="19542BB1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Committee chairs</w:t>
            </w:r>
          </w:p>
        </w:tc>
        <w:tc>
          <w:tcPr>
            <w:tcW w:w="899" w:type="pct"/>
          </w:tcPr>
          <w:p w14:paraId="28AD3BDE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4F2000AA" w14:textId="18DE8EFD" w:rsidTr="004D0D2E">
        <w:tc>
          <w:tcPr>
            <w:tcW w:w="1829" w:type="pct"/>
          </w:tcPr>
          <w:p w14:paraId="0818F7CB" w14:textId="4DF5E35A" w:rsidR="00F267F3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</w:p>
          <w:p w14:paraId="78ED983A" w14:textId="4E9EE3E5" w:rsidR="00F267F3" w:rsidRDefault="00F267F3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Guided Pathways Liaison</w:t>
            </w:r>
          </w:p>
          <w:p w14:paraId="62A10A4F" w14:textId="56B09801" w:rsidR="00F267F3" w:rsidRDefault="00F267F3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lastRenderedPageBreak/>
              <w:t xml:space="preserve">OER Liaison </w:t>
            </w:r>
          </w:p>
          <w:p w14:paraId="61D75BD1" w14:textId="1DEA52F8" w:rsidR="00F267F3" w:rsidRDefault="00F267F3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Senate Constitution Taskforce </w:t>
            </w:r>
          </w:p>
          <w:p w14:paraId="4099B2F7" w14:textId="61362871" w:rsidR="00F267F3" w:rsidRPr="00F62F76" w:rsidRDefault="00F267F3" w:rsidP="00F267F3">
            <w:pPr>
              <w:numPr>
                <w:ilvl w:val="1"/>
                <w:numId w:val="4"/>
              </w:numPr>
              <w:ind w:left="81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First Time Home Buyer Help</w:t>
            </w:r>
          </w:p>
          <w:p w14:paraId="47202281" w14:textId="70DB0355" w:rsidR="00F267F3" w:rsidRPr="009E5D82" w:rsidRDefault="00F267F3" w:rsidP="00F267F3">
            <w:pPr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83" w:type="pct"/>
          </w:tcPr>
          <w:p w14:paraId="328B98E6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36D89225" w14:textId="185FE973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570" w:type="pct"/>
          </w:tcPr>
          <w:p w14:paraId="0BB8E46E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899" w:type="pct"/>
          </w:tcPr>
          <w:p w14:paraId="2D20437F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F267F3" w:rsidRPr="00467A99" w14:paraId="6FDDB84D" w14:textId="49CA32D5" w:rsidTr="004D0D2E">
        <w:tc>
          <w:tcPr>
            <w:tcW w:w="1829" w:type="pct"/>
          </w:tcPr>
          <w:p w14:paraId="19C65626" w14:textId="77777777" w:rsidR="00F267F3" w:rsidRPr="00467A99" w:rsidRDefault="00F267F3" w:rsidP="00F267F3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983" w:type="pct"/>
          </w:tcPr>
          <w:p w14:paraId="286C9622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718" w:type="pct"/>
          </w:tcPr>
          <w:p w14:paraId="68E3A1DB" w14:textId="30758B45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570" w:type="pct"/>
          </w:tcPr>
          <w:p w14:paraId="4B9A0C7B" w14:textId="77777777" w:rsidR="00F267F3" w:rsidRPr="00467A99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99" w:type="pct"/>
          </w:tcPr>
          <w:p w14:paraId="6D0CEB18" w14:textId="77777777" w:rsidR="00F267F3" w:rsidRPr="00C72A07" w:rsidRDefault="00F267F3" w:rsidP="00F267F3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27F45836" w14:textId="77777777" w:rsidR="00D14B24" w:rsidRPr="00467A99" w:rsidRDefault="00D14B24" w:rsidP="00D14B24">
      <w:pPr>
        <w:tabs>
          <w:tab w:val="left" w:pos="360"/>
        </w:tabs>
        <w:rPr>
          <w:rFonts w:ascii="Cambria" w:hAnsi="Cambria"/>
          <w:sz w:val="22"/>
        </w:rPr>
      </w:pPr>
    </w:p>
    <w:p w14:paraId="14A733AA" w14:textId="1731ED8B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>
        <w:rPr>
          <w:rFonts w:ascii="Cambria" w:hAnsi="Cambria"/>
          <w:b/>
          <w:sz w:val="22"/>
          <w:u w:val="single"/>
        </w:rPr>
        <w:t>Attachments:</w:t>
      </w:r>
    </w:p>
    <w:p w14:paraId="71729B59" w14:textId="4D36A58F" w:rsidR="005A1D9A" w:rsidRDefault="006128D3" w:rsidP="00D14B24">
      <w:pPr>
        <w:tabs>
          <w:tab w:val="left" w:pos="360"/>
        </w:tabs>
        <w:rPr>
          <w:rFonts w:ascii="Cambria" w:hAnsi="Cambria"/>
          <w:sz w:val="22"/>
          <w:lang w:bidi="x-none"/>
        </w:rPr>
      </w:pPr>
      <w:r>
        <w:rPr>
          <w:rFonts w:ascii="Cambria" w:hAnsi="Cambria"/>
          <w:sz w:val="22"/>
          <w:lang w:bidi="x-none"/>
        </w:rPr>
        <w:t>ASdraftminutes10-</w:t>
      </w:r>
      <w:r w:rsidR="00C03354">
        <w:rPr>
          <w:rFonts w:ascii="Cambria" w:hAnsi="Cambria"/>
          <w:sz w:val="22"/>
          <w:lang w:bidi="x-none"/>
        </w:rPr>
        <w:t>29</w:t>
      </w:r>
      <w:r w:rsidR="005A1D9A">
        <w:rPr>
          <w:rFonts w:ascii="Cambria" w:hAnsi="Cambria"/>
          <w:sz w:val="22"/>
          <w:lang w:bidi="x-none"/>
        </w:rPr>
        <w:t>-18</w:t>
      </w:r>
    </w:p>
    <w:p w14:paraId="72E03C80" w14:textId="153D9F95" w:rsidR="00D0340A" w:rsidRDefault="00D0340A" w:rsidP="00D14B24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AS_Scholarships_1819</w:t>
      </w:r>
    </w:p>
    <w:p w14:paraId="124BE758" w14:textId="04F6DDCF" w:rsidR="00A61961" w:rsidRDefault="00A61961" w:rsidP="00D14B24">
      <w:pPr>
        <w:tabs>
          <w:tab w:val="left" w:pos="360"/>
        </w:tabs>
        <w:rPr>
          <w:rFonts w:ascii="Cambria" w:hAnsi="Cambria"/>
          <w:sz w:val="22"/>
        </w:rPr>
      </w:pPr>
      <w:r w:rsidRPr="0054152B">
        <w:rPr>
          <w:rFonts w:ascii="Cambria" w:hAnsi="Cambria"/>
          <w:sz w:val="22"/>
          <w:lang w:bidi="x-none"/>
        </w:rPr>
        <w:t>CCCCOsmokefreereport</w:t>
      </w:r>
    </w:p>
    <w:p w14:paraId="6D75AC5D" w14:textId="77777777" w:rsidR="005A1D9A" w:rsidRDefault="005A1D9A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63E8DB5E" w14:textId="77777777" w:rsidR="003B31D8" w:rsidRDefault="003B31D8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467A99">
        <w:rPr>
          <w:rFonts w:ascii="Cambria" w:hAnsi="Cambria"/>
          <w:b/>
          <w:sz w:val="22"/>
          <w:u w:val="single"/>
        </w:rPr>
        <w:t>Consent Calendar:</w:t>
      </w:r>
    </w:p>
    <w:p w14:paraId="4E23C38A" w14:textId="241D4EDC" w:rsidR="006F36CA" w:rsidRDefault="00A61961" w:rsidP="00CE4F61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Lisa Hills’ TRC: Brenda Hanning (Chair), Lisa Eshman to replace Judy Yamamoto.</w:t>
      </w:r>
    </w:p>
    <w:p w14:paraId="343B63A9" w14:textId="77777777" w:rsidR="004E513F" w:rsidRPr="00467A99" w:rsidRDefault="004E513F" w:rsidP="005436A1">
      <w:pPr>
        <w:tabs>
          <w:tab w:val="left" w:pos="360"/>
        </w:tabs>
        <w:ind w:left="810" w:hanging="810"/>
        <w:rPr>
          <w:rFonts w:ascii="Cambria" w:hAnsi="Cambria"/>
          <w:sz w:val="22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3EA6CCA" w14:textId="77777777" w:rsidR="00CE4F61" w:rsidRDefault="00CE4F61" w:rsidP="00CE4F61">
      <w:pPr>
        <w:rPr>
          <w:rFonts w:asciiTheme="minorHAnsi" w:hAnsiTheme="minorHAnsi"/>
          <w:sz w:val="22"/>
          <w:szCs w:val="22"/>
        </w:rPr>
      </w:pPr>
      <w:bookmarkStart w:id="0" w:name="TenPlusOneList"/>
      <w:r>
        <w:rPr>
          <w:rFonts w:asciiTheme="minorHAnsi" w:hAnsiTheme="minorHAnsi"/>
          <w:sz w:val="22"/>
          <w:szCs w:val="22"/>
        </w:rPr>
        <w:t>Academic Senate: We need another part time rep!</w:t>
      </w:r>
    </w:p>
    <w:p w14:paraId="335C5AD9" w14:textId="40130B6A" w:rsidR="00CE4F61" w:rsidRDefault="00CE4F61" w:rsidP="00CE4F61">
      <w:pPr>
        <w:rPr>
          <w:rFonts w:asciiTheme="minorHAnsi" w:hAnsiTheme="minorHAnsi"/>
          <w:sz w:val="22"/>
          <w:szCs w:val="22"/>
        </w:rPr>
      </w:pPr>
      <w:r w:rsidRPr="00AD0CDB">
        <w:rPr>
          <w:rFonts w:asciiTheme="minorHAnsi" w:hAnsiTheme="minorHAnsi"/>
          <w:sz w:val="22"/>
          <w:szCs w:val="22"/>
        </w:rPr>
        <w:t xml:space="preserve">Community and Communication: </w:t>
      </w:r>
      <w:r w:rsidR="004A330E">
        <w:rPr>
          <w:rFonts w:asciiTheme="minorHAnsi" w:hAnsiTheme="minorHAnsi"/>
          <w:sz w:val="22"/>
          <w:szCs w:val="22"/>
        </w:rPr>
        <w:t>2 faculty reps (next meeting is November 9</w:t>
      </w:r>
      <w:r w:rsidR="004A330E" w:rsidRPr="004A330E">
        <w:rPr>
          <w:rFonts w:asciiTheme="minorHAnsi" w:hAnsiTheme="minorHAnsi"/>
          <w:sz w:val="22"/>
          <w:szCs w:val="22"/>
          <w:vertAlign w:val="superscript"/>
        </w:rPr>
        <w:t>th</w:t>
      </w:r>
      <w:r w:rsidR="004A330E">
        <w:rPr>
          <w:rFonts w:asciiTheme="minorHAnsi" w:hAnsiTheme="minorHAnsi"/>
          <w:sz w:val="22"/>
          <w:szCs w:val="22"/>
        </w:rPr>
        <w:t xml:space="preserve"> from 12:30-2:30 in the Altos Room).</w:t>
      </w:r>
      <w:bookmarkStart w:id="1" w:name="_GoBack"/>
      <w:bookmarkEnd w:id="1"/>
    </w:p>
    <w:p w14:paraId="00092752" w14:textId="77777777" w:rsidR="00C41DCB" w:rsidRDefault="00C41DCB" w:rsidP="00C8113B">
      <w:pPr>
        <w:adjustRightInd w:val="0"/>
        <w:rPr>
          <w:sz w:val="20"/>
        </w:rPr>
      </w:pPr>
    </w:p>
    <w:p w14:paraId="7A361874" w14:textId="77777777" w:rsidR="00C41DCB" w:rsidRDefault="00C41DCB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r>
        <w:rPr>
          <w:sz w:val="20"/>
        </w:rPr>
        <w:t>The 10+1</w:t>
      </w:r>
    </w:p>
    <w:bookmarkEnd w:id="0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032A721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336DCDC0" w14:textId="77777777" w:rsidR="001B4E59" w:rsidRPr="008C1C6C" w:rsidRDefault="001B4E59" w:rsidP="00C2643A">
      <w:pPr>
        <w:adjustRightInd w:val="0"/>
        <w:rPr>
          <w:sz w:val="20"/>
        </w:rPr>
        <w:sectPr w:rsidR="001B4E59" w:rsidRPr="008C1C6C" w:rsidSect="00F806B8">
          <w:pgSz w:w="15840" w:h="12240" w:orient="landscape"/>
          <w:pgMar w:top="1152" w:right="1152" w:bottom="1152" w:left="1152" w:header="720" w:footer="720" w:gutter="0"/>
          <w:cols w:space="720"/>
          <w:docGrid w:linePitch="326"/>
        </w:sectPr>
      </w:pPr>
    </w:p>
    <w:p w14:paraId="3B44365C" w14:textId="17DC788B" w:rsidR="006419B0" w:rsidRDefault="006419B0" w:rsidP="006419B0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lastRenderedPageBreak/>
        <w:t>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8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-201</w:t>
      </w:r>
      <w:r w:rsidR="00C41DCB">
        <w:rPr>
          <w:rFonts w:ascii="Cambria" w:eastAsia="Cambria" w:hAnsi="Cambria" w:cs="Cambria"/>
          <w:b/>
          <w:bCs/>
          <w:sz w:val="22"/>
          <w:szCs w:val="22"/>
          <w:u w:val="single"/>
        </w:rPr>
        <w:t>9</w:t>
      </w:r>
      <w:r w:rsidRPr="408345D2">
        <w:rPr>
          <w:rFonts w:ascii="Cambria" w:eastAsia="Cambria" w:hAnsi="Cambria" w:cs="Cambria"/>
          <w:b/>
          <w:bCs/>
          <w:sz w:val="22"/>
          <w:szCs w:val="22"/>
          <w:u w:val="single"/>
        </w:rPr>
        <w:t xml:space="preserve"> Academic Senate Meetings</w:t>
      </w:r>
    </w:p>
    <w:p w14:paraId="42E631C0" w14:textId="77777777" w:rsidR="006419B0" w:rsidRPr="005176C4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>All begin at 2PM and are held in the Toyon Room</w:t>
      </w:r>
    </w:p>
    <w:p w14:paraId="140F73C9" w14:textId="77777777" w:rsidR="006419B0" w:rsidRPr="00467A99" w:rsidRDefault="006419B0" w:rsidP="006419B0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079"/>
        <w:gridCol w:w="3856"/>
      </w:tblGrid>
      <w:tr w:rsidR="006419B0" w:rsidRPr="00467A99" w14:paraId="384D7A66" w14:textId="77777777" w:rsidTr="00B3184B">
        <w:tc>
          <w:tcPr>
            <w:tcW w:w="2898" w:type="dxa"/>
            <w:shd w:val="clear" w:color="auto" w:fill="auto"/>
          </w:tcPr>
          <w:p w14:paraId="2FD9A21D" w14:textId="6DB807F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2018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4B2CFFF0" w14:textId="01B5534A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8636605" w14:textId="12A3BD4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6419B0" w:rsidRPr="00467A99" w14:paraId="2F96F97E" w14:textId="77777777" w:rsidTr="00B3184B">
        <w:tc>
          <w:tcPr>
            <w:tcW w:w="2898" w:type="dxa"/>
            <w:shd w:val="clear" w:color="auto" w:fill="auto"/>
          </w:tcPr>
          <w:p w14:paraId="0F5D77D2" w14:textId="1E74F3C0" w:rsidR="006419B0" w:rsidRPr="00CE4F61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CE4F61">
              <w:rPr>
                <w:rFonts w:ascii="Cambria" w:eastAsia="Cambria" w:hAnsi="Cambria" w:cs="Cambria"/>
                <w:strike/>
                <w:sz w:val="21"/>
                <w:szCs w:val="22"/>
              </w:rPr>
              <w:t>10/8/18</w:t>
            </w:r>
          </w:p>
          <w:p w14:paraId="0FCA61D3" w14:textId="3FA24D1F" w:rsidR="006419B0" w:rsidRPr="00E97C26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10/22/18</w:t>
            </w:r>
          </w:p>
          <w:p w14:paraId="62178769" w14:textId="69E69C37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10/29</w:t>
            </w:r>
            <w:r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7F04DE" w:rsidRPr="00E97C26">
              <w:rPr>
                <w:rFonts w:ascii="Cambria" w:eastAsia="Cambria" w:hAnsi="Cambria" w:cs="Cambria"/>
                <w:strike/>
                <w:sz w:val="21"/>
                <w:szCs w:val="22"/>
              </w:rPr>
              <w:t>8</w:t>
            </w:r>
            <w:r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Pr="006419B0">
              <w:rPr>
                <w:rFonts w:ascii="Cambria" w:eastAsia="Cambria" w:hAnsi="Cambria" w:cs="Cambria"/>
                <w:sz w:val="16"/>
                <w:szCs w:val="22"/>
              </w:rPr>
              <w:t>joint mtg with DA</w:t>
            </w:r>
          </w:p>
          <w:p w14:paraId="3BB2A3FB" w14:textId="5BBD4561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11/5/18</w:t>
            </w:r>
          </w:p>
          <w:p w14:paraId="493654B7" w14:textId="77777777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11/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19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/16</w:t>
            </w:r>
          </w:p>
          <w:p w14:paraId="4F49B00C" w14:textId="0EB3034C" w:rsidR="007F04DE" w:rsidRPr="001A595A" w:rsidRDefault="007F04DE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12/3/19</w:t>
            </w:r>
          </w:p>
        </w:tc>
        <w:tc>
          <w:tcPr>
            <w:tcW w:w="3150" w:type="dxa"/>
            <w:shd w:val="clear" w:color="auto" w:fill="auto"/>
          </w:tcPr>
          <w:p w14:paraId="58F38A5C" w14:textId="38B34BD0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1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/14/19</w:t>
            </w:r>
          </w:p>
          <w:p w14:paraId="120FC8A3" w14:textId="659B2685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1/28/19</w:t>
            </w:r>
          </w:p>
          <w:p w14:paraId="0290C732" w14:textId="1CC49623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11/19</w:t>
            </w:r>
          </w:p>
          <w:p w14:paraId="07368290" w14:textId="40E16AD8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 w:rsidRPr="001A595A">
              <w:rPr>
                <w:rFonts w:ascii="Cambria" w:eastAsia="Cambria" w:hAnsi="Cambria" w:cs="Cambria"/>
                <w:sz w:val="21"/>
                <w:szCs w:val="22"/>
              </w:rPr>
              <w:t>2/2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5/19</w:t>
            </w:r>
          </w:p>
          <w:p w14:paraId="513B8709" w14:textId="5A8C9C54" w:rsidR="006419B0" w:rsidRPr="001A595A" w:rsidRDefault="007F04DE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3/11/19</w:t>
            </w:r>
          </w:p>
          <w:p w14:paraId="73B841FE" w14:textId="14B0D914" w:rsidR="006419B0" w:rsidRPr="001A595A" w:rsidRDefault="006419B0" w:rsidP="00B3184B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7EC8A71A" w14:textId="7E9D2625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4/8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/1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 xml:space="preserve">9 </w:t>
            </w:r>
            <w:r w:rsidRPr="004E4111">
              <w:rPr>
                <w:rFonts w:ascii="Cambria" w:eastAsia="Cambria" w:hAnsi="Cambria" w:cs="Cambria"/>
                <w:sz w:val="18"/>
                <w:szCs w:val="22"/>
              </w:rPr>
              <w:t xml:space="preserve">* </w:t>
            </w:r>
            <w:r w:rsidRPr="004E4111">
              <w:rPr>
                <w:rFonts w:ascii="Cambria" w:eastAsia="Cambria" w:hAnsi="Cambria" w:cs="Cambria"/>
                <w:sz w:val="15"/>
                <w:szCs w:val="22"/>
              </w:rPr>
              <w:t>joint meeting with DA</w:t>
            </w:r>
          </w:p>
          <w:p w14:paraId="72BF9E22" w14:textId="6A59500D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15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3C226AC6" w14:textId="08EF43FE" w:rsidR="006419B0" w:rsidRPr="001A595A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29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0F67017A" w14:textId="49986ABB" w:rsidR="006419B0" w:rsidRDefault="006419B0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7F04DE">
              <w:rPr>
                <w:rFonts w:ascii="Cambria" w:eastAsia="Cambria" w:hAnsi="Cambria" w:cs="Cambria"/>
                <w:sz w:val="21"/>
                <w:szCs w:val="22"/>
              </w:rPr>
              <w:t>5/13</w:t>
            </w:r>
            <w:r w:rsidR="00C41DCB">
              <w:rPr>
                <w:rFonts w:ascii="Cambria" w:eastAsia="Cambria" w:hAnsi="Cambria" w:cs="Cambria"/>
                <w:sz w:val="21"/>
                <w:szCs w:val="22"/>
              </w:rPr>
              <w:t>/19</w:t>
            </w:r>
          </w:p>
          <w:p w14:paraId="2F20A031" w14:textId="6400AB87" w:rsidR="00C41DCB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6/3/19</w:t>
            </w:r>
          </w:p>
          <w:p w14:paraId="7DB06D19" w14:textId="2AFF6316" w:rsidR="006419B0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6/10/19</w:t>
            </w:r>
          </w:p>
          <w:p w14:paraId="745658BB" w14:textId="5272BBFC" w:rsidR="006419B0" w:rsidRPr="001A595A" w:rsidRDefault="00C41DCB" w:rsidP="00B3184B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hAnsi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6/23/19</w:t>
            </w:r>
            <w:r w:rsidR="006419B0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6419B0" w:rsidRPr="0071011F">
              <w:rPr>
                <w:rFonts w:ascii="Cambria" w:eastAsia="Cambria" w:hAnsi="Cambria" w:cs="Cambria"/>
                <w:sz w:val="18"/>
                <w:szCs w:val="22"/>
              </w:rPr>
              <w:t>*Annual Planning Retreat</w:t>
            </w:r>
          </w:p>
        </w:tc>
      </w:tr>
    </w:tbl>
    <w:p w14:paraId="0808F2DD" w14:textId="77777777" w:rsidR="006D4A71" w:rsidRDefault="006D4A71" w:rsidP="00DF430A">
      <w:pPr>
        <w:tabs>
          <w:tab w:val="left" w:pos="360"/>
          <w:tab w:val="left" w:pos="1710"/>
        </w:tabs>
      </w:pPr>
    </w:p>
    <w:p w14:paraId="68B3751C" w14:textId="77777777" w:rsidR="005E4244" w:rsidRDefault="005E4244" w:rsidP="00DF430A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5A59BBE9" w14:textId="5E8F1B67" w:rsidR="006D4A71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listservs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ne</w:t>
      </w:r>
      <w:r w:rsidR="00B01104">
        <w:rPr>
          <w:rFonts w:ascii="Cambria" w:hAnsi="Cambria"/>
          <w:sz w:val="22"/>
        </w:rPr>
        <w:t xml:space="preserve">ed not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http://www.asccc.org/signup-newsletters</w:t>
        </w:r>
      </w:hyperlink>
    </w:p>
    <w:p w14:paraId="6EE0EB00" w14:textId="77777777" w:rsidR="00CD61DC" w:rsidRDefault="00CD61DC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</w:p>
    <w:p w14:paraId="45A44DF8" w14:textId="0C3645A6" w:rsidR="00CD61DC" w:rsidRPr="00CD61DC" w:rsidRDefault="00CD61DC" w:rsidP="00CD61DC">
      <w:pPr>
        <w:rPr>
          <w:rFonts w:asciiTheme="minorHAnsi" w:hAnsiTheme="minorHAnsi"/>
          <w:b/>
        </w:rPr>
      </w:pPr>
      <w:r w:rsidRPr="00CD61DC">
        <w:rPr>
          <w:rFonts w:asciiTheme="minorHAnsi" w:hAnsiTheme="minorHAnsi"/>
          <w:b/>
        </w:rPr>
        <w:t>Upcoming ASCCC Events</w:t>
      </w:r>
      <w:r w:rsidR="00B00C72">
        <w:rPr>
          <w:rFonts w:asciiTheme="minorHAnsi" w:hAnsiTheme="minorHAnsi"/>
          <w:b/>
        </w:rPr>
        <w:t xml:space="preserve"> (State Academic Senate)</w:t>
      </w:r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10C5B85" w14:textId="07C15DC2" w:rsidR="00D50EAA" w:rsidRDefault="004A330E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6" w:history="1">
        <w:r w:rsidR="00D50EAA" w:rsidRPr="00D50EAA">
          <w:rPr>
            <w:rStyle w:val="Hyperlink"/>
            <w:rFonts w:ascii="Cambria" w:hAnsi="Cambria"/>
            <w:sz w:val="22"/>
          </w:rPr>
          <w:t>ASCCC Fall Curriculum Meeting North</w:t>
        </w:r>
      </w:hyperlink>
      <w:r w:rsidR="00D50EAA">
        <w:rPr>
          <w:rFonts w:ascii="Cambria" w:hAnsi="Cambria"/>
          <w:sz w:val="22"/>
        </w:rPr>
        <w:t>, November 16, Mission College</w:t>
      </w:r>
    </w:p>
    <w:p w14:paraId="203682D1" w14:textId="69A6B7BE" w:rsidR="00D50EAA" w:rsidRDefault="004A330E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7" w:history="1">
        <w:r w:rsidR="00D50EAA" w:rsidRPr="00D50EAA">
          <w:rPr>
            <w:rStyle w:val="Hyperlink"/>
            <w:rFonts w:ascii="Cambria" w:hAnsi="Cambria"/>
            <w:sz w:val="22"/>
          </w:rPr>
          <w:t>ASCCC Student Learning Outcome Symposium</w:t>
        </w:r>
      </w:hyperlink>
      <w:r w:rsidR="00D50EAA">
        <w:rPr>
          <w:rFonts w:ascii="Cambria" w:hAnsi="Cambria"/>
          <w:sz w:val="22"/>
        </w:rPr>
        <w:t>, January 25</w:t>
      </w:r>
      <w:r w:rsidR="00D50EAA" w:rsidRPr="00D50EAA">
        <w:rPr>
          <w:rFonts w:ascii="Cambria" w:hAnsi="Cambria"/>
          <w:sz w:val="22"/>
          <w:vertAlign w:val="superscript"/>
        </w:rPr>
        <w:t>th</w:t>
      </w:r>
      <w:r w:rsidR="00D50EAA">
        <w:rPr>
          <w:rFonts w:ascii="Cambria" w:hAnsi="Cambria"/>
          <w:sz w:val="22"/>
        </w:rPr>
        <w:t xml:space="preserve"> 2019, Santa Ana College</w:t>
      </w:r>
    </w:p>
    <w:p w14:paraId="6AEEE3D1" w14:textId="5FBEB0E9" w:rsidR="00D50EAA" w:rsidRPr="00467A99" w:rsidRDefault="004A330E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hyperlink r:id="rId8" w:history="1">
        <w:r w:rsidR="00C466D1" w:rsidRPr="00C466D1">
          <w:rPr>
            <w:rStyle w:val="Hyperlink"/>
            <w:rFonts w:ascii="Cambria" w:hAnsi="Cambria"/>
            <w:sz w:val="22"/>
          </w:rPr>
          <w:t>2019</w:t>
        </w:r>
        <w:r w:rsidR="00D50EAA" w:rsidRPr="00C466D1">
          <w:rPr>
            <w:rStyle w:val="Hyperlink"/>
            <w:rFonts w:ascii="Cambria" w:hAnsi="Cambria"/>
            <w:sz w:val="22"/>
          </w:rPr>
          <w:t xml:space="preserve"> Part-Time Faculty Institute</w:t>
        </w:r>
      </w:hyperlink>
      <w:r w:rsidR="00D50EAA">
        <w:rPr>
          <w:rFonts w:ascii="Cambria" w:hAnsi="Cambria"/>
          <w:sz w:val="22"/>
        </w:rPr>
        <w:t xml:space="preserve">, </w:t>
      </w:r>
      <w:r w:rsidR="00FB3B50">
        <w:rPr>
          <w:rFonts w:ascii="Cambria" w:hAnsi="Cambria"/>
          <w:sz w:val="22"/>
        </w:rPr>
        <w:t xml:space="preserve">February 21-23, Newport Beach Marriott Hotel 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558C7CAF" w14:textId="4311511A" w:rsidR="001E4F04" w:rsidRPr="001E4F04" w:rsidRDefault="001E4F04" w:rsidP="0024280A">
      <w:pPr>
        <w:pStyle w:val="BodyText"/>
        <w:rPr>
          <w:rFonts w:ascii="Cambria" w:hAnsi="Cambria"/>
        </w:rPr>
      </w:pPr>
      <w:r w:rsidRPr="001E4F04">
        <w:rPr>
          <w:rFonts w:ascii="Cambria" w:hAnsi="Cambria"/>
          <w:u w:val="single"/>
        </w:rPr>
        <w:t>Distribution</w:t>
      </w:r>
      <w:r w:rsidRPr="001E4F0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1E4F04">
        <w:rPr>
          <w:rFonts w:asciiTheme="minorHAnsi" w:hAnsiTheme="minorHAnsi" w:cs="Times"/>
        </w:rPr>
        <w:t>Isaac Escoto</w:t>
      </w:r>
      <w:r w:rsidR="006937F7">
        <w:rPr>
          <w:rFonts w:asciiTheme="minorHAnsi" w:hAnsiTheme="minorHAnsi" w:cs="Times"/>
        </w:rPr>
        <w:t xml:space="preserve"> (AS President </w:t>
      </w:r>
      <w:r>
        <w:rPr>
          <w:rFonts w:asciiTheme="minorHAnsi" w:hAnsiTheme="minorHAnsi" w:cs="Times"/>
        </w:rPr>
        <w:t>20</w:t>
      </w:r>
      <w:r w:rsidR="006937F7">
        <w:rPr>
          <w:rFonts w:asciiTheme="minorHAnsi" w:hAnsiTheme="minorHAnsi" w:cs="Times"/>
        </w:rPr>
        <w:t>’</w:t>
      </w:r>
      <w:r w:rsidRPr="001E4F04">
        <w:rPr>
          <w:rFonts w:asciiTheme="minorHAnsi" w:hAnsiTheme="minorHAnsi" w:cs="Times"/>
        </w:rPr>
        <w:t>)</w:t>
      </w:r>
      <w:r>
        <w:rPr>
          <w:rFonts w:asciiTheme="minorHAnsi" w:hAnsiTheme="minorHAnsi" w:cs="Times"/>
        </w:rPr>
        <w:t>, Ben Armerding (AS Vice President/CCC Faculty Co-Chair</w:t>
      </w:r>
      <w:r w:rsidR="006937F7">
        <w:rPr>
          <w:rFonts w:asciiTheme="minorHAnsi" w:hAnsiTheme="minorHAnsi" w:cs="Times"/>
        </w:rPr>
        <w:t xml:space="preserve"> 19’</w:t>
      </w:r>
      <w:r>
        <w:rPr>
          <w:rFonts w:asciiTheme="minorHAnsi" w:hAnsiTheme="minorHAnsi" w:cs="Times"/>
        </w:rPr>
        <w:t xml:space="preserve">), </w:t>
      </w:r>
      <w:r w:rsidR="00776612">
        <w:rPr>
          <w:rFonts w:asciiTheme="minorHAnsi" w:hAnsiTheme="minorHAnsi" w:cs="Times"/>
        </w:rPr>
        <w:t>Katherine</w:t>
      </w:r>
      <w:r w:rsidR="006937F7">
        <w:rPr>
          <w:rFonts w:asciiTheme="minorHAnsi" w:hAnsiTheme="minorHAnsi" w:cs="Times"/>
        </w:rPr>
        <w:t xml:space="preserve"> Schaefers (AS Secretary 19’), </w:t>
      </w:r>
      <w:r>
        <w:rPr>
          <w:rFonts w:asciiTheme="minorHAnsi" w:hAnsiTheme="minorHAnsi" w:cs="Times"/>
        </w:rPr>
        <w:t>Tracee Cunningham (Cnsl), Voltaire Villanueva (Cnsl), Kathryn Mau</w:t>
      </w:r>
      <w:r w:rsidR="00A61961">
        <w:rPr>
          <w:rFonts w:asciiTheme="minorHAnsi" w:hAnsiTheme="minorHAnsi" w:cs="Times"/>
        </w:rPr>
        <w:t>r</w:t>
      </w:r>
      <w:r>
        <w:rPr>
          <w:rFonts w:asciiTheme="minorHAnsi" w:hAnsiTheme="minorHAnsi" w:cs="Times"/>
        </w:rPr>
        <w:t>er (</w:t>
      </w:r>
      <w:r w:rsidR="00D548E8">
        <w:rPr>
          <w:rFonts w:asciiTheme="minorHAnsi" w:hAnsiTheme="minorHAnsi" w:cs="Times"/>
        </w:rPr>
        <w:t>BSS), Natasha Mancuso (BSS), Mic</w:t>
      </w:r>
      <w:r>
        <w:rPr>
          <w:rFonts w:asciiTheme="minorHAnsi" w:hAnsiTheme="minorHAnsi" w:cs="Times"/>
        </w:rPr>
        <w:t>aela Agyare (Library), Amber La Piana (LA), David McCormick (LA), Hilary Gomes (FA/Comm), Jordan Fong (FA/Comm),</w:t>
      </w:r>
      <w:r w:rsidR="009732A5">
        <w:rPr>
          <w:rFonts w:asciiTheme="minorHAnsi" w:hAnsiTheme="minorHAnsi" w:cs="Times"/>
        </w:rPr>
        <w:t xml:space="preserve"> Donna Frankel (PT rep 20’)</w:t>
      </w:r>
      <w:r w:rsidR="009732A5">
        <w:rPr>
          <w:rFonts w:ascii="Cambria" w:hAnsi="Cambria"/>
        </w:rPr>
        <w:t xml:space="preserve">, </w:t>
      </w:r>
      <w:r>
        <w:rPr>
          <w:rFonts w:asciiTheme="minorHAnsi" w:hAnsiTheme="minorHAnsi" w:cs="Times"/>
        </w:rPr>
        <w:t xml:space="preserve">Robert Cormia (PSME), </w:t>
      </w:r>
      <w:r w:rsidR="00811124">
        <w:rPr>
          <w:rFonts w:asciiTheme="minorHAnsi" w:hAnsiTheme="minorHAnsi" w:cs="Times"/>
        </w:rPr>
        <w:t>David Marasco (PSME), Sara Cooper (BHS/FA Rep), Maureen Macdougal (BHS), Rita O’Loughlin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Dixie Macias (</w:t>
      </w:r>
      <w:r w:rsidR="004A26A1">
        <w:rPr>
          <w:rFonts w:asciiTheme="minorHAnsi" w:hAnsiTheme="minorHAnsi" w:cs="Times"/>
        </w:rPr>
        <w:t>KA</w:t>
      </w:r>
      <w:r w:rsidR="00811124">
        <w:rPr>
          <w:rFonts w:asciiTheme="minorHAnsi" w:hAnsiTheme="minorHAnsi" w:cs="Times"/>
        </w:rPr>
        <w:t>/Athletics), Mimi Overton (SRC), Carolyn Holcroft (</w:t>
      </w:r>
      <w:r w:rsidR="006937F7">
        <w:rPr>
          <w:rFonts w:asciiTheme="minorHAnsi" w:hAnsiTheme="minorHAnsi" w:cs="Times"/>
        </w:rPr>
        <w:t>Professional Development), Kristy Lisle (Admin rep), Chelsea Nguyen (ASFC President)</w:t>
      </w:r>
      <w:r w:rsidR="00E97C26">
        <w:rPr>
          <w:rFonts w:asciiTheme="minorHAnsi" w:hAnsiTheme="minorHAnsi" w:cs="Times"/>
        </w:rPr>
        <w:t>, Ron Painter (guest/PSME).</w:t>
      </w:r>
    </w:p>
    <w:p w14:paraId="01A2FD8E" w14:textId="77777777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0ADA9FCB" w14:textId="77777777" w:rsidR="009732A5" w:rsidRPr="009732A5" w:rsidRDefault="009732A5" w:rsidP="009732A5">
      <w:pPr>
        <w:pStyle w:val="BodyText"/>
        <w:rPr>
          <w:rFonts w:asciiTheme="minorHAnsi" w:hAnsiTheme="minorHAnsi"/>
        </w:rPr>
      </w:pPr>
      <w:r w:rsidRPr="009732A5">
        <w:rPr>
          <w:rFonts w:asciiTheme="minorHAnsi" w:eastAsia="Cambria" w:hAnsiTheme="minorHAnsi" w:cs="Cambria"/>
          <w:u w:val="single"/>
        </w:rPr>
        <w:t>CC</w:t>
      </w:r>
      <w:r w:rsidRPr="009732A5">
        <w:rPr>
          <w:rFonts w:asciiTheme="minorHAnsi" w:eastAsia="Cambria" w:hAnsiTheme="minorHAnsi" w:cs="Cambria"/>
        </w:rPr>
        <w:t>: Karen Chow (De Anza Academic Senate President), Thuy Nguyen (College President); Tim Shively (Faculty Association President); Anthony Cervantes (Classified Senate President)</w:t>
      </w:r>
    </w:p>
    <w:p w14:paraId="613D3910" w14:textId="6647832B" w:rsidR="00B3184B" w:rsidRDefault="00B3184B" w:rsidP="0024280A">
      <w:pPr>
        <w:pStyle w:val="BodyText"/>
        <w:rPr>
          <w:rFonts w:ascii="Cambria" w:hAnsi="Cambria"/>
          <w:sz w:val="24"/>
          <w:szCs w:val="24"/>
        </w:rPr>
      </w:pPr>
    </w:p>
    <w:p w14:paraId="5A8F3B0F" w14:textId="77777777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43D9A4FC" w14:textId="16EEE803" w:rsidR="00F54EAA" w:rsidRDefault="00F54EAA" w:rsidP="0024280A">
      <w:pPr>
        <w:pStyle w:val="BodyText"/>
        <w:rPr>
          <w:rFonts w:ascii="Cambria" w:hAnsi="Cambria"/>
          <w:sz w:val="24"/>
          <w:szCs w:val="24"/>
        </w:rPr>
      </w:pPr>
    </w:p>
    <w:p w14:paraId="6F8DB79B" w14:textId="77777777" w:rsidR="004A574A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E544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9D74F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7"/>
  </w:num>
  <w:num w:numId="10">
    <w:abstractNumId w:val="11"/>
  </w:num>
  <w:num w:numId="11">
    <w:abstractNumId w:val="9"/>
  </w:num>
  <w:num w:numId="12">
    <w:abstractNumId w:val="15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323E"/>
    <w:rsid w:val="00003973"/>
    <w:rsid w:val="00003D52"/>
    <w:rsid w:val="00004996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6E8C"/>
    <w:rsid w:val="00031551"/>
    <w:rsid w:val="00032D69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1CB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67FD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64FB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4D1D"/>
    <w:rsid w:val="000B4E59"/>
    <w:rsid w:val="000B5D35"/>
    <w:rsid w:val="000B656B"/>
    <w:rsid w:val="000B73BF"/>
    <w:rsid w:val="000B790C"/>
    <w:rsid w:val="000B7CEA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5F04"/>
    <w:rsid w:val="00126484"/>
    <w:rsid w:val="00127774"/>
    <w:rsid w:val="00127870"/>
    <w:rsid w:val="00127B70"/>
    <w:rsid w:val="00127EB4"/>
    <w:rsid w:val="00132D80"/>
    <w:rsid w:val="00133D94"/>
    <w:rsid w:val="00133FF5"/>
    <w:rsid w:val="0013616E"/>
    <w:rsid w:val="001368BA"/>
    <w:rsid w:val="00140712"/>
    <w:rsid w:val="0014073B"/>
    <w:rsid w:val="00141252"/>
    <w:rsid w:val="00143CD2"/>
    <w:rsid w:val="00143D4A"/>
    <w:rsid w:val="001443C2"/>
    <w:rsid w:val="00144F2C"/>
    <w:rsid w:val="0014721B"/>
    <w:rsid w:val="001475E4"/>
    <w:rsid w:val="00150DFD"/>
    <w:rsid w:val="00152089"/>
    <w:rsid w:val="00152829"/>
    <w:rsid w:val="00153599"/>
    <w:rsid w:val="00153C9F"/>
    <w:rsid w:val="001544C6"/>
    <w:rsid w:val="0015562C"/>
    <w:rsid w:val="00155648"/>
    <w:rsid w:val="00155DEF"/>
    <w:rsid w:val="001562A3"/>
    <w:rsid w:val="00156526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5684"/>
    <w:rsid w:val="0017649C"/>
    <w:rsid w:val="0018006B"/>
    <w:rsid w:val="001810A6"/>
    <w:rsid w:val="0018127C"/>
    <w:rsid w:val="001851C9"/>
    <w:rsid w:val="001854F9"/>
    <w:rsid w:val="0018615B"/>
    <w:rsid w:val="0018734A"/>
    <w:rsid w:val="0019033E"/>
    <w:rsid w:val="00192126"/>
    <w:rsid w:val="00192A22"/>
    <w:rsid w:val="00194EEE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30AE"/>
    <w:rsid w:val="001E39A7"/>
    <w:rsid w:val="001E4644"/>
    <w:rsid w:val="001E4F0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7953"/>
    <w:rsid w:val="002102A4"/>
    <w:rsid w:val="00211B79"/>
    <w:rsid w:val="00212FEC"/>
    <w:rsid w:val="002136B5"/>
    <w:rsid w:val="00213F2D"/>
    <w:rsid w:val="00214AB1"/>
    <w:rsid w:val="00217228"/>
    <w:rsid w:val="00217A6F"/>
    <w:rsid w:val="00223380"/>
    <w:rsid w:val="0022435F"/>
    <w:rsid w:val="00227766"/>
    <w:rsid w:val="002317BD"/>
    <w:rsid w:val="002319EC"/>
    <w:rsid w:val="0023216C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BFB"/>
    <w:rsid w:val="002644A3"/>
    <w:rsid w:val="002676EA"/>
    <w:rsid w:val="00272971"/>
    <w:rsid w:val="00273528"/>
    <w:rsid w:val="0027474C"/>
    <w:rsid w:val="0027487F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A4CB2"/>
    <w:rsid w:val="002A73AE"/>
    <w:rsid w:val="002B131D"/>
    <w:rsid w:val="002B38CF"/>
    <w:rsid w:val="002B5865"/>
    <w:rsid w:val="002B663C"/>
    <w:rsid w:val="002B7B85"/>
    <w:rsid w:val="002C0685"/>
    <w:rsid w:val="002C1629"/>
    <w:rsid w:val="002C1D5F"/>
    <w:rsid w:val="002C1F25"/>
    <w:rsid w:val="002C4368"/>
    <w:rsid w:val="002C4E3A"/>
    <w:rsid w:val="002C54B1"/>
    <w:rsid w:val="002C581B"/>
    <w:rsid w:val="002C5B34"/>
    <w:rsid w:val="002C605C"/>
    <w:rsid w:val="002C65C3"/>
    <w:rsid w:val="002D0ABC"/>
    <w:rsid w:val="002D0D65"/>
    <w:rsid w:val="002D1DC6"/>
    <w:rsid w:val="002D24D8"/>
    <w:rsid w:val="002D2A6E"/>
    <w:rsid w:val="002D3BF6"/>
    <w:rsid w:val="002D7D8E"/>
    <w:rsid w:val="002E0F2C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6C48"/>
    <w:rsid w:val="003074CF"/>
    <w:rsid w:val="00310E72"/>
    <w:rsid w:val="00310FB1"/>
    <w:rsid w:val="00311F62"/>
    <w:rsid w:val="003127A5"/>
    <w:rsid w:val="00312FEC"/>
    <w:rsid w:val="00313BE2"/>
    <w:rsid w:val="0031729F"/>
    <w:rsid w:val="00322085"/>
    <w:rsid w:val="00324780"/>
    <w:rsid w:val="00326128"/>
    <w:rsid w:val="003266E3"/>
    <w:rsid w:val="00327A96"/>
    <w:rsid w:val="00332A96"/>
    <w:rsid w:val="00333E84"/>
    <w:rsid w:val="00334A3D"/>
    <w:rsid w:val="00344784"/>
    <w:rsid w:val="003502E5"/>
    <w:rsid w:val="003502EE"/>
    <w:rsid w:val="003504C5"/>
    <w:rsid w:val="00350D9D"/>
    <w:rsid w:val="00350DE2"/>
    <w:rsid w:val="00351C7E"/>
    <w:rsid w:val="00352B16"/>
    <w:rsid w:val="003578B5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494A"/>
    <w:rsid w:val="0041742F"/>
    <w:rsid w:val="0042096A"/>
    <w:rsid w:val="0042230D"/>
    <w:rsid w:val="004224E5"/>
    <w:rsid w:val="00422615"/>
    <w:rsid w:val="00427A9F"/>
    <w:rsid w:val="00431AA8"/>
    <w:rsid w:val="00431D7F"/>
    <w:rsid w:val="00432377"/>
    <w:rsid w:val="0043435F"/>
    <w:rsid w:val="00436223"/>
    <w:rsid w:val="00436FB3"/>
    <w:rsid w:val="00437AFE"/>
    <w:rsid w:val="00441424"/>
    <w:rsid w:val="00443668"/>
    <w:rsid w:val="00446F19"/>
    <w:rsid w:val="004472CD"/>
    <w:rsid w:val="00447C63"/>
    <w:rsid w:val="004543FA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6A1"/>
    <w:rsid w:val="004A278A"/>
    <w:rsid w:val="004A2C00"/>
    <w:rsid w:val="004A2C90"/>
    <w:rsid w:val="004A330E"/>
    <w:rsid w:val="004A566A"/>
    <w:rsid w:val="004A574A"/>
    <w:rsid w:val="004A5CFA"/>
    <w:rsid w:val="004A600E"/>
    <w:rsid w:val="004B1C14"/>
    <w:rsid w:val="004B38EC"/>
    <w:rsid w:val="004B460B"/>
    <w:rsid w:val="004B52BB"/>
    <w:rsid w:val="004B6AF7"/>
    <w:rsid w:val="004B6B8F"/>
    <w:rsid w:val="004C275A"/>
    <w:rsid w:val="004C3898"/>
    <w:rsid w:val="004D0D2E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8E4"/>
    <w:rsid w:val="004E7552"/>
    <w:rsid w:val="004E7D1C"/>
    <w:rsid w:val="004F21F4"/>
    <w:rsid w:val="004F24E7"/>
    <w:rsid w:val="004F267E"/>
    <w:rsid w:val="004F6D26"/>
    <w:rsid w:val="004F7218"/>
    <w:rsid w:val="004F7EBA"/>
    <w:rsid w:val="00501554"/>
    <w:rsid w:val="00501A4B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4BF8"/>
    <w:rsid w:val="0052779B"/>
    <w:rsid w:val="00530F64"/>
    <w:rsid w:val="00532CD5"/>
    <w:rsid w:val="00533B90"/>
    <w:rsid w:val="005354AF"/>
    <w:rsid w:val="00537DBB"/>
    <w:rsid w:val="00540F0C"/>
    <w:rsid w:val="0054152B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C4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1D9A"/>
    <w:rsid w:val="005A3D2B"/>
    <w:rsid w:val="005A6B3A"/>
    <w:rsid w:val="005A6ED7"/>
    <w:rsid w:val="005B0675"/>
    <w:rsid w:val="005B40D4"/>
    <w:rsid w:val="005B54E4"/>
    <w:rsid w:val="005B62B3"/>
    <w:rsid w:val="005C034A"/>
    <w:rsid w:val="005C17E4"/>
    <w:rsid w:val="005C2049"/>
    <w:rsid w:val="005C2431"/>
    <w:rsid w:val="005C3C33"/>
    <w:rsid w:val="005C6C5D"/>
    <w:rsid w:val="005D087E"/>
    <w:rsid w:val="005D299A"/>
    <w:rsid w:val="005E062A"/>
    <w:rsid w:val="005E0CEC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2F0F"/>
    <w:rsid w:val="00605CDF"/>
    <w:rsid w:val="00606734"/>
    <w:rsid w:val="00606F1F"/>
    <w:rsid w:val="00610CAE"/>
    <w:rsid w:val="006128D3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F28"/>
    <w:rsid w:val="00657209"/>
    <w:rsid w:val="006609ED"/>
    <w:rsid w:val="00661BBC"/>
    <w:rsid w:val="00662692"/>
    <w:rsid w:val="006653D7"/>
    <w:rsid w:val="0066602B"/>
    <w:rsid w:val="0067295D"/>
    <w:rsid w:val="00673467"/>
    <w:rsid w:val="00673AA1"/>
    <w:rsid w:val="006757A7"/>
    <w:rsid w:val="00681584"/>
    <w:rsid w:val="006837D5"/>
    <w:rsid w:val="006872DF"/>
    <w:rsid w:val="00691338"/>
    <w:rsid w:val="00691408"/>
    <w:rsid w:val="006914AF"/>
    <w:rsid w:val="006937F7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22D3"/>
    <w:rsid w:val="006B22ED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36CA"/>
    <w:rsid w:val="006F3DFB"/>
    <w:rsid w:val="006F5146"/>
    <w:rsid w:val="006F6921"/>
    <w:rsid w:val="006F7B32"/>
    <w:rsid w:val="00700CBA"/>
    <w:rsid w:val="00703AD7"/>
    <w:rsid w:val="0070435D"/>
    <w:rsid w:val="00704569"/>
    <w:rsid w:val="00704B43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60A"/>
    <w:rsid w:val="0072781E"/>
    <w:rsid w:val="0073012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612"/>
    <w:rsid w:val="00776A07"/>
    <w:rsid w:val="007775A0"/>
    <w:rsid w:val="00777B69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6BF4"/>
    <w:rsid w:val="007A71C6"/>
    <w:rsid w:val="007B1787"/>
    <w:rsid w:val="007B57D2"/>
    <w:rsid w:val="007B678E"/>
    <w:rsid w:val="007B68F7"/>
    <w:rsid w:val="007C2CDD"/>
    <w:rsid w:val="007C3356"/>
    <w:rsid w:val="007C7A14"/>
    <w:rsid w:val="007D044D"/>
    <w:rsid w:val="007D091E"/>
    <w:rsid w:val="007D1DC3"/>
    <w:rsid w:val="007D2371"/>
    <w:rsid w:val="007D2FC0"/>
    <w:rsid w:val="007D4DE7"/>
    <w:rsid w:val="007D600E"/>
    <w:rsid w:val="007D76D3"/>
    <w:rsid w:val="007E01E2"/>
    <w:rsid w:val="007E03B1"/>
    <w:rsid w:val="007E2145"/>
    <w:rsid w:val="007E2234"/>
    <w:rsid w:val="007E3893"/>
    <w:rsid w:val="007E3BF5"/>
    <w:rsid w:val="007E3D06"/>
    <w:rsid w:val="007E795F"/>
    <w:rsid w:val="007F04DE"/>
    <w:rsid w:val="007F1E3E"/>
    <w:rsid w:val="007F43D2"/>
    <w:rsid w:val="007F4B9A"/>
    <w:rsid w:val="00803623"/>
    <w:rsid w:val="008053B1"/>
    <w:rsid w:val="00805B13"/>
    <w:rsid w:val="00806800"/>
    <w:rsid w:val="008073EE"/>
    <w:rsid w:val="0080778D"/>
    <w:rsid w:val="0081016C"/>
    <w:rsid w:val="008101D6"/>
    <w:rsid w:val="00811124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3B8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9D6"/>
    <w:rsid w:val="008C3F3F"/>
    <w:rsid w:val="008C4BC8"/>
    <w:rsid w:val="008C6566"/>
    <w:rsid w:val="008D0136"/>
    <w:rsid w:val="008D014F"/>
    <w:rsid w:val="008D3154"/>
    <w:rsid w:val="008D3999"/>
    <w:rsid w:val="008D3ADE"/>
    <w:rsid w:val="008D3FE1"/>
    <w:rsid w:val="008D6F7D"/>
    <w:rsid w:val="008E034B"/>
    <w:rsid w:val="008E265D"/>
    <w:rsid w:val="008F52C6"/>
    <w:rsid w:val="008F53DF"/>
    <w:rsid w:val="008F5F21"/>
    <w:rsid w:val="0090000F"/>
    <w:rsid w:val="00900A46"/>
    <w:rsid w:val="0090115C"/>
    <w:rsid w:val="0090199F"/>
    <w:rsid w:val="00901A29"/>
    <w:rsid w:val="00902466"/>
    <w:rsid w:val="009028BA"/>
    <w:rsid w:val="009036B1"/>
    <w:rsid w:val="00906506"/>
    <w:rsid w:val="00907047"/>
    <w:rsid w:val="00907BFE"/>
    <w:rsid w:val="00907D80"/>
    <w:rsid w:val="00911FA7"/>
    <w:rsid w:val="00913B28"/>
    <w:rsid w:val="0091581F"/>
    <w:rsid w:val="00915BA3"/>
    <w:rsid w:val="00917254"/>
    <w:rsid w:val="009173A0"/>
    <w:rsid w:val="00917495"/>
    <w:rsid w:val="0092161D"/>
    <w:rsid w:val="0092342E"/>
    <w:rsid w:val="0092461B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E75"/>
    <w:rsid w:val="009434E7"/>
    <w:rsid w:val="00945189"/>
    <w:rsid w:val="009461F1"/>
    <w:rsid w:val="00946B2D"/>
    <w:rsid w:val="00947A1E"/>
    <w:rsid w:val="009519B8"/>
    <w:rsid w:val="00953AC7"/>
    <w:rsid w:val="00954332"/>
    <w:rsid w:val="00954E26"/>
    <w:rsid w:val="00955E94"/>
    <w:rsid w:val="009560FA"/>
    <w:rsid w:val="0096150A"/>
    <w:rsid w:val="0096295A"/>
    <w:rsid w:val="0096350C"/>
    <w:rsid w:val="00965105"/>
    <w:rsid w:val="00967EE6"/>
    <w:rsid w:val="0097149D"/>
    <w:rsid w:val="00971735"/>
    <w:rsid w:val="00972A62"/>
    <w:rsid w:val="009732A5"/>
    <w:rsid w:val="00974124"/>
    <w:rsid w:val="009746F3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7079"/>
    <w:rsid w:val="0099049E"/>
    <w:rsid w:val="00995C7A"/>
    <w:rsid w:val="0099634F"/>
    <w:rsid w:val="009969A0"/>
    <w:rsid w:val="00996AA5"/>
    <w:rsid w:val="009A2862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64F7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7CBF"/>
    <w:rsid w:val="009F7F5A"/>
    <w:rsid w:val="009F7F97"/>
    <w:rsid w:val="00A01FBB"/>
    <w:rsid w:val="00A0318E"/>
    <w:rsid w:val="00A042B7"/>
    <w:rsid w:val="00A07E8D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1D90"/>
    <w:rsid w:val="00A420D0"/>
    <w:rsid w:val="00A45A98"/>
    <w:rsid w:val="00A460AB"/>
    <w:rsid w:val="00A4714A"/>
    <w:rsid w:val="00A47E87"/>
    <w:rsid w:val="00A5178A"/>
    <w:rsid w:val="00A52E44"/>
    <w:rsid w:val="00A54D73"/>
    <w:rsid w:val="00A55E33"/>
    <w:rsid w:val="00A579A4"/>
    <w:rsid w:val="00A6022F"/>
    <w:rsid w:val="00A60B9C"/>
    <w:rsid w:val="00A61961"/>
    <w:rsid w:val="00A643DE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E4C"/>
    <w:rsid w:val="00A80D8E"/>
    <w:rsid w:val="00A81076"/>
    <w:rsid w:val="00A81077"/>
    <w:rsid w:val="00A82AF4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E94"/>
    <w:rsid w:val="00AA5FA5"/>
    <w:rsid w:val="00AA63DB"/>
    <w:rsid w:val="00AA70EF"/>
    <w:rsid w:val="00AB0F67"/>
    <w:rsid w:val="00AB1852"/>
    <w:rsid w:val="00AB3F34"/>
    <w:rsid w:val="00AB4E7E"/>
    <w:rsid w:val="00AB5853"/>
    <w:rsid w:val="00AB5E36"/>
    <w:rsid w:val="00AB68DD"/>
    <w:rsid w:val="00AC085C"/>
    <w:rsid w:val="00AC2821"/>
    <w:rsid w:val="00AD0CDB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29"/>
    <w:rsid w:val="00B00C72"/>
    <w:rsid w:val="00B01104"/>
    <w:rsid w:val="00B03176"/>
    <w:rsid w:val="00B0489B"/>
    <w:rsid w:val="00B04CC2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DB3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60124"/>
    <w:rsid w:val="00B61B98"/>
    <w:rsid w:val="00B63AFE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78CE"/>
    <w:rsid w:val="00BA0B8D"/>
    <w:rsid w:val="00BA2A9D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5CA9"/>
    <w:rsid w:val="00BC603E"/>
    <w:rsid w:val="00BC6438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3354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1DCB"/>
    <w:rsid w:val="00C466D1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0B2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BC2"/>
    <w:rsid w:val="00C86382"/>
    <w:rsid w:val="00C87354"/>
    <w:rsid w:val="00C87752"/>
    <w:rsid w:val="00C878C7"/>
    <w:rsid w:val="00C92397"/>
    <w:rsid w:val="00C92768"/>
    <w:rsid w:val="00C9387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4F61"/>
    <w:rsid w:val="00CE56F3"/>
    <w:rsid w:val="00CE611D"/>
    <w:rsid w:val="00CE7092"/>
    <w:rsid w:val="00CF1C9D"/>
    <w:rsid w:val="00CF31CA"/>
    <w:rsid w:val="00CF36B4"/>
    <w:rsid w:val="00CF4746"/>
    <w:rsid w:val="00CF49E7"/>
    <w:rsid w:val="00D00089"/>
    <w:rsid w:val="00D00A03"/>
    <w:rsid w:val="00D00E7E"/>
    <w:rsid w:val="00D01E6C"/>
    <w:rsid w:val="00D028D8"/>
    <w:rsid w:val="00D0340A"/>
    <w:rsid w:val="00D03D0C"/>
    <w:rsid w:val="00D04970"/>
    <w:rsid w:val="00D11265"/>
    <w:rsid w:val="00D11289"/>
    <w:rsid w:val="00D1222B"/>
    <w:rsid w:val="00D12E96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403B4"/>
    <w:rsid w:val="00D414D1"/>
    <w:rsid w:val="00D436A7"/>
    <w:rsid w:val="00D438D2"/>
    <w:rsid w:val="00D454B6"/>
    <w:rsid w:val="00D46492"/>
    <w:rsid w:val="00D472E2"/>
    <w:rsid w:val="00D50EAA"/>
    <w:rsid w:val="00D51710"/>
    <w:rsid w:val="00D52776"/>
    <w:rsid w:val="00D548E8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3047"/>
    <w:rsid w:val="00D745A0"/>
    <w:rsid w:val="00D74C11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560"/>
    <w:rsid w:val="00DC0416"/>
    <w:rsid w:val="00DC30C3"/>
    <w:rsid w:val="00DC5A01"/>
    <w:rsid w:val="00DC625F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E7667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902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1059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C9F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C26"/>
    <w:rsid w:val="00E97ED2"/>
    <w:rsid w:val="00EA0F23"/>
    <w:rsid w:val="00EA15D4"/>
    <w:rsid w:val="00EA17FB"/>
    <w:rsid w:val="00EA237F"/>
    <w:rsid w:val="00EA2F20"/>
    <w:rsid w:val="00EA3861"/>
    <w:rsid w:val="00EA57B3"/>
    <w:rsid w:val="00EA6D92"/>
    <w:rsid w:val="00EA6DA4"/>
    <w:rsid w:val="00EB0969"/>
    <w:rsid w:val="00EB35C7"/>
    <w:rsid w:val="00EB6507"/>
    <w:rsid w:val="00EB7248"/>
    <w:rsid w:val="00EC0DEC"/>
    <w:rsid w:val="00EC25BA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2E3C"/>
    <w:rsid w:val="00F146B6"/>
    <w:rsid w:val="00F209F7"/>
    <w:rsid w:val="00F213FB"/>
    <w:rsid w:val="00F21976"/>
    <w:rsid w:val="00F267F3"/>
    <w:rsid w:val="00F26A85"/>
    <w:rsid w:val="00F304A6"/>
    <w:rsid w:val="00F315B5"/>
    <w:rsid w:val="00F33909"/>
    <w:rsid w:val="00F365D7"/>
    <w:rsid w:val="00F36706"/>
    <w:rsid w:val="00F3798E"/>
    <w:rsid w:val="00F40B50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AA"/>
    <w:rsid w:val="00F55A4F"/>
    <w:rsid w:val="00F57C73"/>
    <w:rsid w:val="00F6161D"/>
    <w:rsid w:val="00F62F76"/>
    <w:rsid w:val="00F6447C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4C29"/>
    <w:rsid w:val="00F87751"/>
    <w:rsid w:val="00F87A6B"/>
    <w:rsid w:val="00F90A8A"/>
    <w:rsid w:val="00F91D2B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3B50"/>
    <w:rsid w:val="00FB6CC9"/>
    <w:rsid w:val="00FB77AD"/>
    <w:rsid w:val="00FC2C1B"/>
    <w:rsid w:val="00FC48D5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5AB"/>
    <w:rsid w:val="00FE4CDA"/>
    <w:rsid w:val="00FE70F0"/>
    <w:rsid w:val="00FE75CF"/>
    <w:rsid w:val="00FF05BD"/>
    <w:rsid w:val="00FF1B67"/>
    <w:rsid w:val="00FF2D27"/>
    <w:rsid w:val="00FF2DD2"/>
    <w:rsid w:val="00FF5526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58C41448-8702-B841-99B2-42F85DA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7F04DE"/>
  </w:style>
  <w:style w:type="character" w:styleId="UnresolvedMention">
    <w:name w:val="Unresolved Mention"/>
    <w:basedOn w:val="DefaultParagraphFont"/>
    <w:uiPriority w:val="99"/>
    <w:semiHidden/>
    <w:unhideWhenUsed/>
    <w:rsid w:val="00D50EA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9D64F7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semiHidden/>
    <w:rsid w:val="009D64F7"/>
    <w:rPr>
      <w:rFonts w:eastAsia="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523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88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6939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56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20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6556">
                  <w:marLeft w:val="3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1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9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events/2019-02-21-200000-2019-02-23-200000/2019-part-time-faculty-institu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.org/events/2019-01-25-160000-2019-01-26-010000/2019-student-learning-outcomes-slo-sympos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cc.org/events/2018-11-16-170000-2018-11-16-230000/2018-fall-curriculum-regional-meeting-north" TargetMode="External"/><Relationship Id="rId5" Type="http://schemas.openxmlformats.org/officeDocument/2006/relationships/hyperlink" Target="http://www.asccc.org/signup-newslett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4720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Microsoft Office User</cp:lastModifiedBy>
  <cp:revision>3</cp:revision>
  <cp:lastPrinted>2018-10-05T00:06:00Z</cp:lastPrinted>
  <dcterms:created xsi:type="dcterms:W3CDTF">2018-11-01T23:08:00Z</dcterms:created>
  <dcterms:modified xsi:type="dcterms:W3CDTF">2018-11-01T23:13:00Z</dcterms:modified>
  <cp:category/>
</cp:coreProperties>
</file>