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5153F2A6" w:rsidR="00844ADA" w:rsidRPr="00467A99" w:rsidRDefault="005005EC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November 26</w:t>
      </w:r>
      <w:r w:rsidR="00C03354">
        <w:rPr>
          <w:rFonts w:ascii="Cambria" w:hAnsi="Cambria"/>
          <w:sz w:val="22"/>
        </w:rPr>
        <w:t>th</w:t>
      </w:r>
      <w:r w:rsidR="005E0CEC"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proofErr w:type="spellStart"/>
      <w:r w:rsidR="00844ADA" w:rsidRPr="00467A99">
        <w:rPr>
          <w:rFonts w:ascii="Cambria" w:hAnsi="Cambria"/>
          <w:sz w:val="22"/>
        </w:rPr>
        <w:t>Toyon</w:t>
      </w:r>
      <w:proofErr w:type="spellEnd"/>
      <w:r w:rsidR="00844ADA" w:rsidRPr="00467A99">
        <w:rPr>
          <w:rFonts w:ascii="Cambria" w:hAnsi="Cambria"/>
          <w:sz w:val="22"/>
        </w:rPr>
        <w:t xml:space="preserve">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2"/>
        <w:gridCol w:w="3352"/>
        <w:gridCol w:w="2468"/>
        <w:gridCol w:w="1248"/>
        <w:gridCol w:w="2186"/>
      </w:tblGrid>
      <w:tr w:rsidR="00E81C9F" w:rsidRPr="00467A99" w14:paraId="0BE18DC1" w14:textId="6D2B53DF" w:rsidTr="004D0D2E">
        <w:tc>
          <w:tcPr>
            <w:tcW w:w="1829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983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718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899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E81C9F" w:rsidRPr="00467A99" w14:paraId="14C390FA" w14:textId="7DCBE8FC" w:rsidTr="004D0D2E">
        <w:tc>
          <w:tcPr>
            <w:tcW w:w="1829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983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99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52BB6181" w14:textId="6C0A80A3" w:rsidTr="004D0D2E">
        <w:tc>
          <w:tcPr>
            <w:tcW w:w="1829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983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  <w:proofErr w:type="spellEnd"/>
          </w:p>
        </w:tc>
        <w:tc>
          <w:tcPr>
            <w:tcW w:w="899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4FEF3600" w14:textId="77777777" w:rsidTr="004D0D2E">
        <w:tc>
          <w:tcPr>
            <w:tcW w:w="1829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983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2E681B68" w14:textId="77777777" w:rsidTr="004D0D2E">
        <w:tc>
          <w:tcPr>
            <w:tcW w:w="1829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983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570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99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CE4F61" w:rsidRPr="00467A99" w14:paraId="638288B1" w14:textId="179CB67C" w:rsidTr="004D0D2E">
        <w:tc>
          <w:tcPr>
            <w:tcW w:w="1829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983" w:type="pct"/>
          </w:tcPr>
          <w:p w14:paraId="23593C05" w14:textId="0E94411B" w:rsidR="00CE4F61" w:rsidRPr="00467A99" w:rsidRDefault="0053088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ASdraftminutes11-05</w:t>
            </w:r>
            <w:r w:rsidR="00CE4F61">
              <w:rPr>
                <w:rFonts w:ascii="Cambria" w:hAnsi="Cambria"/>
                <w:sz w:val="22"/>
                <w:lang w:bidi="x-none"/>
              </w:rPr>
              <w:t>-18</w:t>
            </w:r>
          </w:p>
        </w:tc>
        <w:tc>
          <w:tcPr>
            <w:tcW w:w="718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99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51D921F" w14:textId="220403EE" w:rsidTr="004D0D2E">
        <w:tc>
          <w:tcPr>
            <w:tcW w:w="1829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983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99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5E4F59EE" w14:textId="13ED95D8" w:rsidTr="004D0D2E">
        <w:tc>
          <w:tcPr>
            <w:tcW w:w="1829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983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570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FF99003" w14:textId="61DDC861" w:rsidTr="004D0D2E">
        <w:tc>
          <w:tcPr>
            <w:tcW w:w="1829" w:type="pct"/>
          </w:tcPr>
          <w:p w14:paraId="393B143C" w14:textId="3B2CE852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983" w:type="pct"/>
          </w:tcPr>
          <w:p w14:paraId="0020AC23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2A841C76" w14:textId="77EAA74A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4A9923A7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145D1652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10E01400" w14:textId="522DFC8A" w:rsidTr="004D0D2E">
        <w:tc>
          <w:tcPr>
            <w:tcW w:w="1829" w:type="pct"/>
          </w:tcPr>
          <w:p w14:paraId="3B325D51" w14:textId="7F9355ED" w:rsidR="00CE4F61" w:rsidRDefault="00736580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Faculty Awards</w:t>
            </w:r>
          </w:p>
        </w:tc>
        <w:tc>
          <w:tcPr>
            <w:tcW w:w="983" w:type="pct"/>
          </w:tcPr>
          <w:p w14:paraId="700560DC" w14:textId="77777777" w:rsidR="008F77EC" w:rsidRDefault="008F77EC" w:rsidP="008F77EC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8F77EC">
              <w:rPr>
                <w:rFonts w:ascii="Cambria" w:hAnsi="Cambria"/>
                <w:sz w:val="22"/>
                <w:lang w:bidi="x-none"/>
              </w:rPr>
              <w:t xml:space="preserve">1819HaywardAwardLetterfinal </w:t>
            </w:r>
          </w:p>
          <w:p w14:paraId="1961D4AE" w14:textId="77777777" w:rsidR="008F77EC" w:rsidRDefault="008F77EC" w:rsidP="008F77EC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8F77EC">
              <w:rPr>
                <w:rFonts w:ascii="Cambria" w:hAnsi="Cambria"/>
                <w:sz w:val="22"/>
                <w:lang w:bidi="x-none"/>
              </w:rPr>
              <w:t>2018-19DiversityLetterfinal</w:t>
            </w:r>
          </w:p>
          <w:p w14:paraId="24AFBBEE" w14:textId="781FC296" w:rsidR="00CE4F61" w:rsidRDefault="00CE4F61" w:rsidP="0053088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1632B7E2" w14:textId="7B60AC78" w:rsidR="00CE4F61" w:rsidRDefault="00D0340A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Discussion/Action</w:t>
            </w:r>
          </w:p>
        </w:tc>
        <w:tc>
          <w:tcPr>
            <w:tcW w:w="570" w:type="pct"/>
          </w:tcPr>
          <w:p w14:paraId="4BFF0142" w14:textId="2AC31D9B" w:rsidR="00CE4F61" w:rsidRDefault="00D0340A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99" w:type="pct"/>
          </w:tcPr>
          <w:p w14:paraId="493E0F2D" w14:textId="52E542F0" w:rsidR="00CE4F61" w:rsidRPr="00C72A07" w:rsidRDefault="00530885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Reminder of ASCCC faculty awards still open for nomination</w:t>
            </w:r>
          </w:p>
        </w:tc>
      </w:tr>
      <w:tr w:rsidR="00CE4F61" w:rsidRPr="00467A99" w14:paraId="6B071F46" w14:textId="77777777" w:rsidTr="004D0D2E">
        <w:tc>
          <w:tcPr>
            <w:tcW w:w="1829" w:type="pct"/>
          </w:tcPr>
          <w:p w14:paraId="6027FD80" w14:textId="543C52AA" w:rsidR="00CE4F61" w:rsidRPr="00156526" w:rsidRDefault="00530885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On Online Learning</w:t>
            </w:r>
          </w:p>
        </w:tc>
        <w:tc>
          <w:tcPr>
            <w:tcW w:w="983" w:type="pct"/>
          </w:tcPr>
          <w:p w14:paraId="399326A4" w14:textId="293C366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7934FF0C" w14:textId="1E2E3F5F" w:rsidR="00CE4F61" w:rsidRDefault="00D0340A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570" w:type="pct"/>
          </w:tcPr>
          <w:p w14:paraId="0129709D" w14:textId="4D89CB96" w:rsidR="00CE4F61" w:rsidRDefault="00C0335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99" w:type="pct"/>
          </w:tcPr>
          <w:p w14:paraId="2DD1F740" w14:textId="42F639D5" w:rsidR="00CE4F61" w:rsidRPr="00C72A07" w:rsidRDefault="00530885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Body will discuss the need for COOL as well as it’s charge</w:t>
            </w:r>
          </w:p>
        </w:tc>
      </w:tr>
      <w:tr w:rsidR="00CE4F61" w:rsidRPr="00467A99" w14:paraId="13B50FA2" w14:textId="13251A90" w:rsidTr="004D0D2E">
        <w:tc>
          <w:tcPr>
            <w:tcW w:w="1829" w:type="pct"/>
          </w:tcPr>
          <w:p w14:paraId="759F98B4" w14:textId="00523B4A" w:rsidR="00CE4F61" w:rsidRDefault="00530885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Reports</w:t>
            </w:r>
          </w:p>
        </w:tc>
        <w:tc>
          <w:tcPr>
            <w:tcW w:w="983" w:type="pct"/>
          </w:tcPr>
          <w:p w14:paraId="35246472" w14:textId="4341C7B3" w:rsidR="00A07E8D" w:rsidRDefault="00A07E8D" w:rsidP="0054152B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06B23A83" w14:textId="7FF01FFC" w:rsidR="00CE4F61" w:rsidRDefault="0053088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</w:t>
            </w:r>
            <w:r w:rsidR="0054152B">
              <w:rPr>
                <w:rFonts w:ascii="Cambria" w:hAnsi="Cambria"/>
                <w:sz w:val="22"/>
                <w:lang w:bidi="x-none"/>
              </w:rPr>
              <w:t>Discussion</w:t>
            </w:r>
            <w:r w:rsidR="00CE4F61"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570" w:type="pct"/>
          </w:tcPr>
          <w:p w14:paraId="6183ADF2" w14:textId="75D4905A" w:rsidR="00CE4F61" w:rsidRDefault="0053088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899" w:type="pct"/>
          </w:tcPr>
          <w:p w14:paraId="1178D43E" w14:textId="0A498C11" w:rsidR="00CE4F61" w:rsidRPr="00C72A07" w:rsidRDefault="00CE4F61" w:rsidP="00530885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 xml:space="preserve">Reps </w:t>
            </w:r>
            <w:r w:rsidR="0054152B">
              <w:rPr>
                <w:rFonts w:ascii="Cambria" w:hAnsi="Cambria"/>
                <w:sz w:val="20"/>
                <w:lang w:bidi="x-none"/>
              </w:rPr>
              <w:t xml:space="preserve">will </w:t>
            </w:r>
            <w:r w:rsidR="00530885">
              <w:rPr>
                <w:rFonts w:ascii="Cambria" w:hAnsi="Cambria"/>
                <w:sz w:val="20"/>
                <w:lang w:bidi="x-none"/>
              </w:rPr>
              <w:t>hear updates from governance committees and have the opportunity to discuss/provide feedback</w:t>
            </w:r>
          </w:p>
        </w:tc>
      </w:tr>
      <w:tr w:rsidR="00CE4F61" w:rsidRPr="00467A99" w14:paraId="29760CF4" w14:textId="6372FE67" w:rsidTr="004D0D2E">
        <w:trPr>
          <w:trHeight w:val="296"/>
        </w:trPr>
        <w:tc>
          <w:tcPr>
            <w:tcW w:w="1829" w:type="pct"/>
          </w:tcPr>
          <w:p w14:paraId="686A4241" w14:textId="6FE071B2" w:rsidR="00CE4F61" w:rsidRDefault="00530885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Annual Budget Request Form </w:t>
            </w:r>
            <w:r w:rsidR="0054152B">
              <w:rPr>
                <w:rFonts w:ascii="Cambria" w:hAnsi="Cambria"/>
                <w:sz w:val="22"/>
                <w:lang w:bidi="x-none"/>
              </w:rPr>
              <w:t xml:space="preserve"> </w:t>
            </w:r>
          </w:p>
        </w:tc>
        <w:tc>
          <w:tcPr>
            <w:tcW w:w="983" w:type="pct"/>
          </w:tcPr>
          <w:p w14:paraId="1E3F2E87" w14:textId="0F72B6E7" w:rsidR="00CE4F61" w:rsidRDefault="008F77EC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 w:rsidRPr="008F77EC">
              <w:rPr>
                <w:rFonts w:ascii="Cambria" w:hAnsi="Cambria"/>
                <w:sz w:val="22"/>
                <w:lang w:bidi="x-none"/>
              </w:rPr>
              <w:t>AnnualStratBudgetPlanningForm</w:t>
            </w:r>
            <w:proofErr w:type="spellEnd"/>
            <w:r w:rsidRPr="008F77EC">
              <w:rPr>
                <w:rFonts w:ascii="Cambria" w:hAnsi="Cambria"/>
                <w:sz w:val="22"/>
                <w:lang w:bidi="x-none"/>
              </w:rPr>
              <w:t xml:space="preserve"> 11-8-18</w:t>
            </w:r>
          </w:p>
        </w:tc>
        <w:tc>
          <w:tcPr>
            <w:tcW w:w="718" w:type="pct"/>
          </w:tcPr>
          <w:p w14:paraId="4F7C9520" w14:textId="7B1711F1" w:rsidR="00CE4F61" w:rsidRDefault="0054152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  <w:r w:rsidR="00530885">
              <w:rPr>
                <w:rFonts w:ascii="Cambria" w:hAnsi="Cambria"/>
                <w:sz w:val="22"/>
                <w:lang w:bidi="x-none"/>
              </w:rPr>
              <w:t>/Discussion</w:t>
            </w:r>
          </w:p>
        </w:tc>
        <w:tc>
          <w:tcPr>
            <w:tcW w:w="570" w:type="pct"/>
          </w:tcPr>
          <w:p w14:paraId="1B0BA999" w14:textId="038A321F" w:rsidR="00CE4F61" w:rsidRDefault="0054152B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99" w:type="pct"/>
          </w:tcPr>
          <w:p w14:paraId="4D9691E1" w14:textId="2B700C20" w:rsidR="00CE4F61" w:rsidRPr="00C72A07" w:rsidRDefault="005B5F95" w:rsidP="00530885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review and provide feedback regarding the Annual Budget Request Form</w:t>
            </w:r>
          </w:p>
        </w:tc>
      </w:tr>
      <w:tr w:rsidR="00CE4F61" w:rsidRPr="00467A99" w14:paraId="68C999B9" w14:textId="77777777" w:rsidTr="004D0D2E">
        <w:tc>
          <w:tcPr>
            <w:tcW w:w="1829" w:type="pct"/>
          </w:tcPr>
          <w:p w14:paraId="4B722CFD" w14:textId="6EF11367" w:rsidR="00CE4F61" w:rsidRPr="0066602B" w:rsidRDefault="00530885" w:rsidP="00CE4F61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Budget Reduction Timeline/Updates  </w:t>
            </w:r>
          </w:p>
        </w:tc>
        <w:tc>
          <w:tcPr>
            <w:tcW w:w="983" w:type="pct"/>
          </w:tcPr>
          <w:p w14:paraId="1024922E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7634CB6F" w14:textId="2DD4E7F9" w:rsidR="00CE4F61" w:rsidRDefault="0053088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</w:t>
            </w:r>
            <w:r w:rsidR="00A07E8D">
              <w:rPr>
                <w:rFonts w:ascii="Cambria" w:hAnsi="Cambria"/>
                <w:sz w:val="22"/>
                <w:lang w:bidi="x-none"/>
              </w:rPr>
              <w:t>Discussio</w:t>
            </w:r>
            <w:r w:rsidR="0090115C">
              <w:rPr>
                <w:rFonts w:ascii="Cambria" w:hAnsi="Cambria"/>
                <w:sz w:val="22"/>
                <w:lang w:bidi="x-none"/>
              </w:rPr>
              <w:t>n</w:t>
            </w:r>
          </w:p>
        </w:tc>
        <w:tc>
          <w:tcPr>
            <w:tcW w:w="570" w:type="pct"/>
          </w:tcPr>
          <w:p w14:paraId="626D663F" w14:textId="34669B2D" w:rsidR="00CE4F61" w:rsidRDefault="00530885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899" w:type="pct"/>
          </w:tcPr>
          <w:p w14:paraId="19F861B8" w14:textId="2D859B7E" w:rsidR="00CE4F61" w:rsidRDefault="00530885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receive an update on budget reduction timelines for the academic year</w:t>
            </w:r>
          </w:p>
        </w:tc>
      </w:tr>
      <w:tr w:rsidR="00CE4F61" w:rsidRPr="00467A99" w14:paraId="4F2000AA" w14:textId="18DE8EFD" w:rsidTr="004D0D2E">
        <w:tc>
          <w:tcPr>
            <w:tcW w:w="1829" w:type="pct"/>
          </w:tcPr>
          <w:p w14:paraId="0818F7CB" w14:textId="4DF5E35A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78ED983A" w14:textId="38D59F4C" w:rsidR="00CE4F61" w:rsidRDefault="00736580" w:rsidP="00CE4F61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Fire Relief Donations</w:t>
            </w:r>
          </w:p>
          <w:p w14:paraId="62A10A4F" w14:textId="0E03F613" w:rsidR="00125F04" w:rsidRDefault="00736580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>Smoking Policy Feedback</w:t>
            </w:r>
          </w:p>
          <w:p w14:paraId="61D75BD1" w14:textId="65CB01FC" w:rsidR="00917254" w:rsidRDefault="00736580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Guided Pathways Update</w:t>
            </w:r>
          </w:p>
          <w:p w14:paraId="4099B2F7" w14:textId="5F82C6D5" w:rsidR="00A61961" w:rsidRDefault="00736580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Senate Constitution Taskforce</w:t>
            </w:r>
          </w:p>
          <w:p w14:paraId="1C909CBA" w14:textId="25395467" w:rsidR="005005EC" w:rsidRPr="00F62F76" w:rsidRDefault="005005EC" w:rsidP="00125F04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Chief of Police Open Forum</w:t>
            </w:r>
          </w:p>
          <w:p w14:paraId="47202281" w14:textId="70DB0355" w:rsidR="00125F04" w:rsidRPr="009E5D82" w:rsidRDefault="00125F04" w:rsidP="00125F04">
            <w:pPr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83" w:type="pct"/>
          </w:tcPr>
          <w:p w14:paraId="328B98E6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6D89225" w14:textId="185FE973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570" w:type="pct"/>
          </w:tcPr>
          <w:p w14:paraId="0BB8E46E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99" w:type="pct"/>
          </w:tcPr>
          <w:p w14:paraId="2D20437F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FDDB84D" w14:textId="49CA32D5" w:rsidTr="004D0D2E">
        <w:tc>
          <w:tcPr>
            <w:tcW w:w="1829" w:type="pct"/>
          </w:tcPr>
          <w:p w14:paraId="19C6562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983" w:type="pct"/>
          </w:tcPr>
          <w:p w14:paraId="286C962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68E3A1DB" w14:textId="30758B45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4B9A0C7B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6D0CEB18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7F996F66" w14:textId="548595ED" w:rsidR="00772747" w:rsidRPr="00772747" w:rsidRDefault="00772747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ASdraftminutes11-05-18</w:t>
      </w:r>
    </w:p>
    <w:p w14:paraId="695B94E7" w14:textId="77777777" w:rsidR="008F77EC" w:rsidRDefault="008F77EC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8F77EC">
        <w:rPr>
          <w:rFonts w:ascii="Cambria" w:hAnsi="Cambria"/>
          <w:sz w:val="22"/>
          <w:lang w:bidi="x-none"/>
        </w:rPr>
        <w:t xml:space="preserve">1819HaywardAwardLetterfinal </w:t>
      </w:r>
    </w:p>
    <w:p w14:paraId="4C11870C" w14:textId="198170CD" w:rsidR="008F77EC" w:rsidRDefault="008F77EC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 w:rsidRPr="008F77EC">
        <w:rPr>
          <w:rFonts w:ascii="Cambria" w:hAnsi="Cambria"/>
          <w:sz w:val="22"/>
          <w:lang w:bidi="x-none"/>
        </w:rPr>
        <w:t>2018-19DiversityLetterfinal</w:t>
      </w:r>
    </w:p>
    <w:p w14:paraId="62EC6308" w14:textId="77777777" w:rsidR="00772747" w:rsidRDefault="00772747" w:rsidP="00D14B24">
      <w:pPr>
        <w:tabs>
          <w:tab w:val="left" w:pos="360"/>
        </w:tabs>
        <w:rPr>
          <w:rFonts w:ascii="Cambria" w:hAnsi="Cambria"/>
          <w:sz w:val="22"/>
        </w:rPr>
      </w:pPr>
      <w:proofErr w:type="spellStart"/>
      <w:r w:rsidRPr="00772747">
        <w:rPr>
          <w:rFonts w:ascii="Cambria" w:hAnsi="Cambria"/>
          <w:sz w:val="22"/>
        </w:rPr>
        <w:t>AnnualStratBudgetPlanningForm</w:t>
      </w:r>
      <w:proofErr w:type="spellEnd"/>
      <w:r w:rsidRPr="00772747">
        <w:rPr>
          <w:rFonts w:ascii="Cambria" w:hAnsi="Cambria"/>
          <w:sz w:val="22"/>
        </w:rPr>
        <w:t xml:space="preserve"> 11-8-18</w:t>
      </w:r>
    </w:p>
    <w:p w14:paraId="15268C42" w14:textId="77777777" w:rsidR="00772747" w:rsidRDefault="00772747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6D75AC5D" w14:textId="77777777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4E23C38A" w14:textId="203DDF86" w:rsidR="006F36CA" w:rsidRDefault="005005EC" w:rsidP="00CE4F61">
      <w:pPr>
        <w:tabs>
          <w:tab w:val="left" w:pos="360"/>
        </w:tabs>
        <w:rPr>
          <w:rFonts w:ascii="Cambria" w:hAnsi="Cambria"/>
          <w:sz w:val="22"/>
        </w:rPr>
      </w:pPr>
      <w:r w:rsidRPr="00DE4C39">
        <w:rPr>
          <w:rFonts w:ascii="Cambria" w:hAnsi="Cambria"/>
          <w:sz w:val="22"/>
          <w:u w:val="single"/>
        </w:rPr>
        <w:t>Search Committee for Acting Dean of Enrollment Services</w:t>
      </w:r>
      <w:r>
        <w:rPr>
          <w:rFonts w:ascii="Cambria" w:hAnsi="Cambria"/>
          <w:sz w:val="22"/>
        </w:rPr>
        <w:t>: Cathy Denver (</w:t>
      </w:r>
      <w:proofErr w:type="spellStart"/>
      <w:r>
        <w:rPr>
          <w:rFonts w:ascii="Cambria" w:hAnsi="Cambria"/>
          <w:sz w:val="22"/>
        </w:rPr>
        <w:t>Cnsl</w:t>
      </w:r>
      <w:proofErr w:type="spellEnd"/>
      <w:r>
        <w:rPr>
          <w:rFonts w:ascii="Cambria" w:hAnsi="Cambria"/>
          <w:sz w:val="22"/>
        </w:rPr>
        <w:t>)</w:t>
      </w:r>
    </w:p>
    <w:p w14:paraId="1DC142E1" w14:textId="2CCA1853" w:rsidR="000C0E42" w:rsidRDefault="000C0E42" w:rsidP="00CE4F61">
      <w:pPr>
        <w:tabs>
          <w:tab w:val="left" w:pos="360"/>
        </w:tabs>
        <w:rPr>
          <w:rFonts w:ascii="Cambria" w:hAnsi="Cambria"/>
          <w:sz w:val="22"/>
        </w:rPr>
      </w:pPr>
      <w:proofErr w:type="spellStart"/>
      <w:r w:rsidRPr="00DE4C39">
        <w:rPr>
          <w:rFonts w:ascii="Cambria" w:hAnsi="Cambria"/>
          <w:sz w:val="22"/>
          <w:u w:val="single"/>
        </w:rPr>
        <w:t>Shaelyn</w:t>
      </w:r>
      <w:proofErr w:type="spellEnd"/>
      <w:r w:rsidRPr="00DE4C39">
        <w:rPr>
          <w:rFonts w:ascii="Cambria" w:hAnsi="Cambria"/>
          <w:sz w:val="22"/>
          <w:u w:val="single"/>
        </w:rPr>
        <w:t xml:space="preserve"> St </w:t>
      </w:r>
      <w:proofErr w:type="spellStart"/>
      <w:r w:rsidRPr="00DE4C39">
        <w:rPr>
          <w:rFonts w:ascii="Cambria" w:hAnsi="Cambria"/>
          <w:sz w:val="22"/>
          <w:u w:val="single"/>
        </w:rPr>
        <w:t>Oge</w:t>
      </w:r>
      <w:proofErr w:type="spellEnd"/>
      <w:r w:rsidRPr="00DE4C39">
        <w:rPr>
          <w:rFonts w:ascii="Cambria" w:hAnsi="Cambria"/>
          <w:sz w:val="22"/>
          <w:u w:val="single"/>
        </w:rPr>
        <w:t>-Cole TRC</w:t>
      </w:r>
      <w:r>
        <w:rPr>
          <w:rFonts w:ascii="Cambria" w:hAnsi="Cambria"/>
          <w:sz w:val="22"/>
        </w:rPr>
        <w:t xml:space="preserve">: Maureen </w:t>
      </w:r>
      <w:proofErr w:type="spellStart"/>
      <w:r w:rsidR="00DE4C39">
        <w:rPr>
          <w:rFonts w:ascii="Cambria" w:hAnsi="Cambria"/>
          <w:sz w:val="22"/>
        </w:rPr>
        <w:t>Macdougall</w:t>
      </w:r>
      <w:proofErr w:type="spellEnd"/>
      <w:r w:rsidR="00DE4C39">
        <w:rPr>
          <w:rFonts w:ascii="Cambria" w:hAnsi="Cambria"/>
          <w:sz w:val="22"/>
        </w:rPr>
        <w:t xml:space="preserve"> to replace Angela Su (stepping down from committee) as committee chair, Lisa </w:t>
      </w:r>
      <w:proofErr w:type="spellStart"/>
      <w:r w:rsidR="00DE4C39">
        <w:rPr>
          <w:rFonts w:ascii="Cambria" w:hAnsi="Cambria"/>
          <w:sz w:val="22"/>
        </w:rPr>
        <w:t>Eshman</w:t>
      </w:r>
      <w:proofErr w:type="spellEnd"/>
      <w:r w:rsidR="00DE4C39">
        <w:rPr>
          <w:rFonts w:ascii="Cambria" w:hAnsi="Cambria"/>
          <w:sz w:val="22"/>
        </w:rPr>
        <w:t xml:space="preserve"> (stepping in for vacant spot).</w:t>
      </w:r>
      <w:bookmarkStart w:id="0" w:name="_GoBack"/>
      <w:bookmarkEnd w:id="0"/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3EA6CCA" w14:textId="77777777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1" w:name="TenPlusOneList"/>
      <w:r>
        <w:rPr>
          <w:rFonts w:asciiTheme="minorHAnsi" w:hAnsiTheme="minorHAnsi"/>
          <w:sz w:val="22"/>
          <w:szCs w:val="22"/>
        </w:rPr>
        <w:t>Academic Senate: We need another part time rep!</w:t>
      </w:r>
    </w:p>
    <w:p w14:paraId="335C5AD9" w14:textId="7ADDB03E" w:rsidR="00CE4F61" w:rsidRDefault="00CE4F61" w:rsidP="00CE4F61">
      <w:pPr>
        <w:rPr>
          <w:rFonts w:asciiTheme="minorHAnsi" w:hAnsiTheme="minorHAnsi"/>
          <w:sz w:val="22"/>
          <w:szCs w:val="22"/>
        </w:rPr>
      </w:pPr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5B5F95">
        <w:rPr>
          <w:rFonts w:asciiTheme="minorHAnsi" w:hAnsiTheme="minorHAnsi"/>
          <w:sz w:val="22"/>
          <w:szCs w:val="22"/>
        </w:rPr>
        <w:t>1 faculty rep spot</w:t>
      </w:r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F806B8">
          <w:pgSz w:w="15840" w:h="12240" w:orient="landscape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3BB2A3FB" w14:textId="5BBD4561" w:rsidR="006419B0" w:rsidRPr="00772747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772747">
              <w:rPr>
                <w:rFonts w:ascii="Cambria" w:eastAsia="Cambria" w:hAnsi="Cambria" w:cs="Cambria"/>
                <w:strike/>
                <w:sz w:val="21"/>
                <w:szCs w:val="22"/>
              </w:rPr>
              <w:t>11/5/18</w:t>
            </w:r>
          </w:p>
          <w:p w14:paraId="493654B7" w14:textId="77777777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19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/16</w:t>
            </w:r>
          </w:p>
          <w:p w14:paraId="4F49B00C" w14:textId="0EB3034C" w:rsidR="007F04DE" w:rsidRPr="001A595A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/14/19</w:t>
            </w:r>
          </w:p>
          <w:p w14:paraId="120FC8A3" w14:textId="659B2685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1/28/19</w:t>
            </w:r>
          </w:p>
          <w:p w14:paraId="0290C732" w14:textId="1CC49623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203682D1" w14:textId="69A6B7BE" w:rsidR="00D50EAA" w:rsidRDefault="00736580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D50EAA" w:rsidRPr="00D50EAA">
          <w:rPr>
            <w:rStyle w:val="Hyperlink"/>
            <w:rFonts w:ascii="Cambria" w:hAnsi="Cambria"/>
            <w:sz w:val="22"/>
          </w:rPr>
          <w:t>ASCCC Student Learning Outcome Symposium</w:t>
        </w:r>
      </w:hyperlink>
      <w:r w:rsidR="00D50EAA">
        <w:rPr>
          <w:rFonts w:ascii="Cambria" w:hAnsi="Cambria"/>
          <w:sz w:val="22"/>
        </w:rPr>
        <w:t>, January 25</w:t>
      </w:r>
      <w:r w:rsidR="00D50EAA" w:rsidRPr="00D50EAA">
        <w:rPr>
          <w:rFonts w:ascii="Cambria" w:hAnsi="Cambria"/>
          <w:sz w:val="22"/>
          <w:vertAlign w:val="superscript"/>
        </w:rPr>
        <w:t>th</w:t>
      </w:r>
      <w:r w:rsidR="00D50EAA">
        <w:rPr>
          <w:rFonts w:ascii="Cambria" w:hAnsi="Cambria"/>
          <w:sz w:val="22"/>
        </w:rPr>
        <w:t xml:space="preserve"> 2019, Santa Ana College</w:t>
      </w:r>
    </w:p>
    <w:p w14:paraId="6AEEE3D1" w14:textId="5FBEB0E9" w:rsidR="00D50EAA" w:rsidRPr="00467A99" w:rsidRDefault="00DE4C39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4311511A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 xml:space="preserve">Isaac </w:t>
      </w:r>
      <w:proofErr w:type="spellStart"/>
      <w:r w:rsidRPr="001E4F04">
        <w:rPr>
          <w:rFonts w:asciiTheme="minorHAnsi" w:hAnsiTheme="minorHAnsi" w:cs="Times"/>
        </w:rPr>
        <w:t>Escoto</w:t>
      </w:r>
      <w:proofErr w:type="spellEnd"/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 xml:space="preserve">, Ben </w:t>
      </w:r>
      <w:proofErr w:type="spellStart"/>
      <w:r>
        <w:rPr>
          <w:rFonts w:asciiTheme="minorHAnsi" w:hAnsiTheme="minorHAnsi" w:cs="Times"/>
        </w:rPr>
        <w:t>Armerding</w:t>
      </w:r>
      <w:proofErr w:type="spellEnd"/>
      <w:r>
        <w:rPr>
          <w:rFonts w:asciiTheme="minorHAnsi" w:hAnsiTheme="minorHAnsi" w:cs="Times"/>
        </w:rPr>
        <w:t xml:space="preserve">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</w:t>
      </w:r>
      <w:proofErr w:type="spellStart"/>
      <w:r w:rsidR="006937F7">
        <w:rPr>
          <w:rFonts w:asciiTheme="minorHAnsi" w:hAnsiTheme="minorHAnsi" w:cs="Times"/>
        </w:rPr>
        <w:t>Schaefers</w:t>
      </w:r>
      <w:proofErr w:type="spellEnd"/>
      <w:r w:rsidR="006937F7">
        <w:rPr>
          <w:rFonts w:asciiTheme="minorHAnsi" w:hAnsiTheme="minorHAnsi" w:cs="Times"/>
        </w:rPr>
        <w:t xml:space="preserve"> (AS Secretary 19’), </w:t>
      </w:r>
      <w:r>
        <w:rPr>
          <w:rFonts w:asciiTheme="minorHAnsi" w:hAnsiTheme="minorHAnsi" w:cs="Times"/>
        </w:rPr>
        <w:t>Tracee Cunningham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Voltaire Villanueva (</w:t>
      </w:r>
      <w:proofErr w:type="spellStart"/>
      <w:r>
        <w:rPr>
          <w:rFonts w:asciiTheme="minorHAnsi" w:hAnsiTheme="minorHAnsi" w:cs="Times"/>
        </w:rPr>
        <w:t>Cnsl</w:t>
      </w:r>
      <w:proofErr w:type="spellEnd"/>
      <w:r>
        <w:rPr>
          <w:rFonts w:asciiTheme="minorHAnsi" w:hAnsiTheme="minorHAnsi" w:cs="Times"/>
        </w:rPr>
        <w:t>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 xml:space="preserve">aela </w:t>
      </w:r>
      <w:proofErr w:type="spellStart"/>
      <w:r>
        <w:rPr>
          <w:rFonts w:asciiTheme="minorHAnsi" w:hAnsiTheme="minorHAnsi" w:cs="Times"/>
        </w:rPr>
        <w:t>Agyare</w:t>
      </w:r>
      <w:proofErr w:type="spellEnd"/>
      <w:r>
        <w:rPr>
          <w:rFonts w:asciiTheme="minorHAnsi" w:hAnsiTheme="minorHAnsi" w:cs="Times"/>
        </w:rPr>
        <w:t xml:space="preserve"> (Library), Amber La </w:t>
      </w:r>
      <w:proofErr w:type="spellStart"/>
      <w:r>
        <w:rPr>
          <w:rFonts w:asciiTheme="minorHAnsi" w:hAnsiTheme="minorHAnsi" w:cs="Times"/>
        </w:rPr>
        <w:t>Piana</w:t>
      </w:r>
      <w:proofErr w:type="spellEnd"/>
      <w:r>
        <w:rPr>
          <w:rFonts w:asciiTheme="minorHAnsi" w:hAnsiTheme="minorHAnsi" w:cs="Times"/>
        </w:rPr>
        <w:t xml:space="preserve"> (LA), David McCormick (LA), Hilary Gomes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 Jordan Fong (FA/</w:t>
      </w:r>
      <w:proofErr w:type="spellStart"/>
      <w:r>
        <w:rPr>
          <w:rFonts w:asciiTheme="minorHAnsi" w:hAnsiTheme="minorHAnsi" w:cs="Times"/>
        </w:rPr>
        <w:t>Comm</w:t>
      </w:r>
      <w:proofErr w:type="spellEnd"/>
      <w:r>
        <w:rPr>
          <w:rFonts w:asciiTheme="minorHAnsi" w:hAnsiTheme="minorHAnsi" w:cs="Times"/>
        </w:rPr>
        <w:t>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 xml:space="preserve">, </w:t>
      </w:r>
      <w:r>
        <w:rPr>
          <w:rFonts w:asciiTheme="minorHAnsi" w:hAnsiTheme="minorHAnsi" w:cs="Times"/>
        </w:rPr>
        <w:t xml:space="preserve">Robert </w:t>
      </w:r>
      <w:proofErr w:type="spellStart"/>
      <w:r>
        <w:rPr>
          <w:rFonts w:asciiTheme="minorHAnsi" w:hAnsiTheme="minorHAnsi" w:cs="Times"/>
        </w:rPr>
        <w:t>Cormia</w:t>
      </w:r>
      <w:proofErr w:type="spellEnd"/>
      <w:r>
        <w:rPr>
          <w:rFonts w:asciiTheme="minorHAnsi" w:hAnsiTheme="minorHAnsi" w:cs="Times"/>
        </w:rPr>
        <w:t xml:space="preserve"> (PSME), </w:t>
      </w:r>
      <w:r w:rsidR="00811124">
        <w:rPr>
          <w:rFonts w:asciiTheme="minorHAnsi" w:hAnsiTheme="minorHAnsi" w:cs="Times"/>
        </w:rPr>
        <w:t xml:space="preserve">David </w:t>
      </w:r>
      <w:proofErr w:type="spellStart"/>
      <w:r w:rsidR="00811124">
        <w:rPr>
          <w:rFonts w:asciiTheme="minorHAnsi" w:hAnsiTheme="minorHAnsi" w:cs="Times"/>
        </w:rPr>
        <w:t>Marasco</w:t>
      </w:r>
      <w:proofErr w:type="spellEnd"/>
      <w:r w:rsidR="00811124">
        <w:rPr>
          <w:rFonts w:asciiTheme="minorHAnsi" w:hAnsiTheme="minorHAnsi" w:cs="Times"/>
        </w:rPr>
        <w:t xml:space="preserve"> (PSME), Sara Cooper (BHS/FA Rep), Maureen </w:t>
      </w:r>
      <w:proofErr w:type="spellStart"/>
      <w:r w:rsidR="00811124">
        <w:rPr>
          <w:rFonts w:asciiTheme="minorHAnsi" w:hAnsiTheme="minorHAnsi" w:cs="Times"/>
        </w:rPr>
        <w:t>Macdougal</w:t>
      </w:r>
      <w:proofErr w:type="spellEnd"/>
      <w:r w:rsidR="00811124">
        <w:rPr>
          <w:rFonts w:asciiTheme="minorHAnsi" w:hAnsiTheme="minorHAnsi" w:cs="Times"/>
        </w:rPr>
        <w:t xml:space="preserve"> (BHS),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Dixie Macias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 xml:space="preserve">/Athletics), Mimi Overton (SRC), Carolyn </w:t>
      </w:r>
      <w:proofErr w:type="spellStart"/>
      <w:r w:rsidR="00811124">
        <w:rPr>
          <w:rFonts w:asciiTheme="minorHAnsi" w:hAnsiTheme="minorHAnsi" w:cs="Times"/>
        </w:rPr>
        <w:t>Holcroft</w:t>
      </w:r>
      <w:proofErr w:type="spellEnd"/>
      <w:r w:rsidR="00811124">
        <w:rPr>
          <w:rFonts w:asciiTheme="minorHAnsi" w:hAnsiTheme="minorHAnsi" w:cs="Times"/>
        </w:rPr>
        <w:t xml:space="preserve"> (</w:t>
      </w:r>
      <w:r w:rsidR="006937F7">
        <w:rPr>
          <w:rFonts w:asciiTheme="minorHAnsi" w:hAnsiTheme="minorHAnsi" w:cs="Times"/>
        </w:rPr>
        <w:t>Professional Development), Kristy Lisle (Admin rep), Chelsea Nguyen (ASFC President)</w:t>
      </w:r>
      <w:r w:rsidR="00E97C26">
        <w:rPr>
          <w:rFonts w:asciiTheme="minorHAnsi" w:hAnsiTheme="minorHAnsi" w:cs="Times"/>
        </w:rPr>
        <w:t>, Ron Painter (guest/PSME).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E42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27F42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6F73"/>
    <w:rsid w:val="004079EF"/>
    <w:rsid w:val="00411869"/>
    <w:rsid w:val="0041494A"/>
    <w:rsid w:val="0041742F"/>
    <w:rsid w:val="0042096A"/>
    <w:rsid w:val="0042230D"/>
    <w:rsid w:val="004224E5"/>
    <w:rsid w:val="00422615"/>
    <w:rsid w:val="00427A9F"/>
    <w:rsid w:val="00431AA8"/>
    <w:rsid w:val="00431D7F"/>
    <w:rsid w:val="00432377"/>
    <w:rsid w:val="0043435F"/>
    <w:rsid w:val="00436223"/>
    <w:rsid w:val="00436FB3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05EC"/>
    <w:rsid w:val="00501554"/>
    <w:rsid w:val="00501A4B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4BF8"/>
    <w:rsid w:val="0052779B"/>
    <w:rsid w:val="00530885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5F95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580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2747"/>
    <w:rsid w:val="00773161"/>
    <w:rsid w:val="0077396E"/>
    <w:rsid w:val="00773FB2"/>
    <w:rsid w:val="00774F0F"/>
    <w:rsid w:val="00776612"/>
    <w:rsid w:val="00776A07"/>
    <w:rsid w:val="007775A0"/>
    <w:rsid w:val="00777B69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8F77EC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29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0DC3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4C39"/>
    <w:rsid w:val="00DE5D60"/>
    <w:rsid w:val="00DE6DBA"/>
    <w:rsid w:val="00DE7667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7AD"/>
    <w:rsid w:val="00FC2C1B"/>
    <w:rsid w:val="00FC48D5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A145D054-7B68-704A-A71B-28210ED1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2-21-200000-2019-02-23-200000/2019-part-time-faculty-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9-01-25-160000-2019-01-26-010000/2019-student-learning-outcomes-slo-symposium" TargetMode="Externa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4743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Microsoft Office User</cp:lastModifiedBy>
  <cp:revision>4</cp:revision>
  <cp:lastPrinted>2018-10-05T00:06:00Z</cp:lastPrinted>
  <dcterms:created xsi:type="dcterms:W3CDTF">2018-11-21T22:06:00Z</dcterms:created>
  <dcterms:modified xsi:type="dcterms:W3CDTF">2018-11-21T22:16:00Z</dcterms:modified>
  <cp:category/>
</cp:coreProperties>
</file>