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0DF1F999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  <w:r w:rsidR="00F92BAF">
        <w:rPr>
          <w:rFonts w:ascii="Cambria" w:hAnsi="Cambria"/>
          <w:sz w:val="22"/>
        </w:rPr>
        <w:t>r</w:t>
      </w:r>
    </w:p>
    <w:p w14:paraId="3C40E423" w14:textId="0924C9C2" w:rsidR="00844ADA" w:rsidRPr="00467A99" w:rsidRDefault="00327EE1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December 2nd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2998"/>
        <w:gridCol w:w="2436"/>
        <w:gridCol w:w="1944"/>
        <w:gridCol w:w="2186"/>
      </w:tblGrid>
      <w:tr w:rsidR="00D4216A" w:rsidRPr="00467A99" w14:paraId="0BE18DC1" w14:textId="6D2B53DF" w:rsidTr="00006179">
        <w:tc>
          <w:tcPr>
            <w:tcW w:w="935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274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1035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826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006179">
        <w:tc>
          <w:tcPr>
            <w:tcW w:w="935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274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26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006179">
        <w:tc>
          <w:tcPr>
            <w:tcW w:w="935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274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826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006179">
        <w:tc>
          <w:tcPr>
            <w:tcW w:w="935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274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006179">
        <w:tc>
          <w:tcPr>
            <w:tcW w:w="935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274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26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006179">
        <w:tc>
          <w:tcPr>
            <w:tcW w:w="935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274" w:type="pct"/>
          </w:tcPr>
          <w:p w14:paraId="23E0D73F" w14:textId="53F07DC5" w:rsidR="00D761A5" w:rsidRPr="009F79C1" w:rsidRDefault="0000617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ASDraftMinutes11.18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.19</w:t>
            </w:r>
          </w:p>
        </w:tc>
        <w:tc>
          <w:tcPr>
            <w:tcW w:w="1035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6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006179">
        <w:tc>
          <w:tcPr>
            <w:tcW w:w="935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274" w:type="pct"/>
          </w:tcPr>
          <w:p w14:paraId="4EE422E8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6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006179">
        <w:tc>
          <w:tcPr>
            <w:tcW w:w="935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274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7A572C04" w14:textId="77777777" w:rsidTr="00006179">
        <w:tc>
          <w:tcPr>
            <w:tcW w:w="935" w:type="pct"/>
          </w:tcPr>
          <w:p w14:paraId="4639EB4B" w14:textId="4362D575" w:rsidR="005220CD" w:rsidRPr="005220CD" w:rsidRDefault="00006179" w:rsidP="005220CD">
            <w:pPr>
              <w:pStyle w:val="ListParagraph"/>
              <w:numPr>
                <w:ilvl w:val="0"/>
                <w:numId w:val="21"/>
              </w:num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Faculty Hiring Prioritization</w:t>
            </w:r>
          </w:p>
        </w:tc>
        <w:tc>
          <w:tcPr>
            <w:tcW w:w="1274" w:type="pct"/>
          </w:tcPr>
          <w:p w14:paraId="370486CC" w14:textId="049D7464" w:rsidR="005220CD" w:rsidRDefault="005220C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bookmarkStart w:id="0" w:name="_GoBack"/>
            <w:bookmarkEnd w:id="0"/>
          </w:p>
        </w:tc>
        <w:tc>
          <w:tcPr>
            <w:tcW w:w="1035" w:type="pct"/>
          </w:tcPr>
          <w:p w14:paraId="43B3FED3" w14:textId="0D2E07AC" w:rsidR="005220CD" w:rsidRDefault="002337FD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26" w:type="pct"/>
          </w:tcPr>
          <w:p w14:paraId="6B43BFC3" w14:textId="07ABBE3E" w:rsidR="005220CD" w:rsidRDefault="00006179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21209740" w14:textId="52A96CB8" w:rsidR="005220CD" w:rsidRPr="00C846D7" w:rsidRDefault="00006179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Reps to discuss/inform next steps in faculty prioritization process.</w:t>
            </w:r>
          </w:p>
        </w:tc>
      </w:tr>
      <w:tr w:rsidR="00D4216A" w:rsidRPr="00467A99" w14:paraId="6FF99003" w14:textId="61DDC861" w:rsidTr="00006179">
        <w:tc>
          <w:tcPr>
            <w:tcW w:w="935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274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10E01400" w14:textId="522DFC8A" w:rsidTr="00006179">
        <w:tc>
          <w:tcPr>
            <w:tcW w:w="935" w:type="pct"/>
          </w:tcPr>
          <w:p w14:paraId="3B325D51" w14:textId="42BACD72" w:rsidR="009D5746" w:rsidRDefault="00006179" w:rsidP="009D5746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Campus Decision Making Processes</w:t>
            </w:r>
          </w:p>
        </w:tc>
        <w:tc>
          <w:tcPr>
            <w:tcW w:w="1274" w:type="pct"/>
          </w:tcPr>
          <w:p w14:paraId="05052E1E" w14:textId="79DCE14F" w:rsidR="009D5746" w:rsidRPr="0072727D" w:rsidRDefault="009D5746" w:rsidP="00D4216A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035" w:type="pct"/>
          </w:tcPr>
          <w:p w14:paraId="7B7B87AB" w14:textId="27071C34" w:rsidR="009D5746" w:rsidRDefault="00006179" w:rsidP="009D5746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26" w:type="pct"/>
          </w:tcPr>
          <w:p w14:paraId="1632B7E2" w14:textId="528D1F21" w:rsidR="009D5746" w:rsidRDefault="006F317D" w:rsidP="009D5746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493E0F2D" w14:textId="1D0BA980" w:rsidR="009D5746" w:rsidRPr="00C846D7" w:rsidRDefault="00006179" w:rsidP="009D5746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The body will envision next steps to undertake so as to address expressed campus decision making processes concerns.</w:t>
            </w:r>
          </w:p>
        </w:tc>
      </w:tr>
      <w:tr w:rsidR="00D4216A" w:rsidRPr="00467A99" w14:paraId="4F2000AA" w14:textId="18DE8EFD" w:rsidTr="00006179">
        <w:tc>
          <w:tcPr>
            <w:tcW w:w="935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47202281" w14:textId="5977E555" w:rsidR="007D7C95" w:rsidRPr="007D7C95" w:rsidRDefault="007D7C95" w:rsidP="00D4216A">
            <w:pPr>
              <w:pStyle w:val="ListParagraph"/>
              <w:ind w:left="1440"/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274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26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006179">
        <w:tc>
          <w:tcPr>
            <w:tcW w:w="935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274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35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26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179CFB7A" w14:textId="25A0B7B4" w:rsidR="009F79C1" w:rsidRDefault="00006179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>ASDraftMinutes11.18</w:t>
      </w:r>
      <w:r w:rsidR="005220CD">
        <w:rPr>
          <w:rFonts w:ascii="Cambria" w:hAnsi="Cambria"/>
          <w:sz w:val="20"/>
          <w:lang w:bidi="x-none"/>
        </w:rPr>
        <w:t>.19</w:t>
      </w:r>
    </w:p>
    <w:p w14:paraId="21DC795D" w14:textId="2228A2AE" w:rsidR="00924ADC" w:rsidRPr="00924ADC" w:rsidRDefault="00924A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 w:rsidRPr="00924ADC">
        <w:rPr>
          <w:rFonts w:ascii="Cambria" w:hAnsi="Cambria"/>
          <w:sz w:val="20"/>
          <w:lang w:bidi="x-none"/>
        </w:rPr>
        <w:t xml:space="preserve">AP 4240 Academic </w:t>
      </w:r>
      <w:proofErr w:type="spellStart"/>
      <w:r w:rsidRPr="00924ADC">
        <w:rPr>
          <w:rFonts w:ascii="Cambria" w:hAnsi="Cambria"/>
          <w:sz w:val="20"/>
          <w:lang w:bidi="x-none"/>
        </w:rPr>
        <w:t>Renewal_Rev</w:t>
      </w:r>
      <w:proofErr w:type="spellEnd"/>
    </w:p>
    <w:p w14:paraId="63F082B0" w14:textId="77777777" w:rsidR="00924ADC" w:rsidRPr="00467A99" w:rsidRDefault="00924ADC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1CFDF421" w14:textId="77777777" w:rsidR="00B83BDC" w:rsidRDefault="00B83B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7265C5" w14:textId="6DD99624" w:rsidR="00006179" w:rsidRDefault="006E3BA8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 4230 Academic Renewal</w:t>
      </w:r>
    </w:p>
    <w:p w14:paraId="4E60ACFF" w14:textId="77777777" w:rsidR="006E3BA8" w:rsidRPr="006E3BA8" w:rsidRDefault="006E3BA8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5FD65082" w14:textId="77777777" w:rsidR="007D7C95" w:rsidRDefault="007D7C95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4D7B7B2" w14:textId="30048F9C" w:rsidR="007D7C95" w:rsidRPr="001B6D91" w:rsidRDefault="009747DC" w:rsidP="007D7C95">
      <w:pPr>
        <w:rPr>
          <w:rFonts w:ascii="Cambria" w:hAnsi="Cambria"/>
          <w:b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R&amp;R full time faculty rep</w:t>
      </w:r>
      <w:r w:rsidR="002760C0" w:rsidRPr="001B6D91">
        <w:rPr>
          <w:rFonts w:ascii="Cambria" w:hAnsi="Cambria"/>
          <w:b/>
          <w:sz w:val="22"/>
          <w:szCs w:val="22"/>
          <w:lang w:bidi="x-none"/>
        </w:rPr>
        <w:t xml:space="preserve"> </w:t>
      </w:r>
    </w:p>
    <w:p w14:paraId="47A7A2E6" w14:textId="7DE3F3A6" w:rsidR="002760C0" w:rsidRPr="001B6D91" w:rsidRDefault="002760C0" w:rsidP="002760C0">
      <w:pPr>
        <w:rPr>
          <w:rFonts w:ascii="Times New Roman" w:eastAsia="Times New Roman" w:hAnsi="Times New Roman"/>
          <w:i/>
          <w:sz w:val="20"/>
        </w:rPr>
      </w:pPr>
      <w:r>
        <w:rPr>
          <w:rFonts w:ascii="Cambria" w:hAnsi="Cambria"/>
          <w:sz w:val="22"/>
          <w:szCs w:val="22"/>
          <w:lang w:bidi="x-none"/>
        </w:rPr>
        <w:lastRenderedPageBreak/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>
        <w:rPr>
          <w:rFonts w:ascii="Cambria" w:hAnsi="Cambria"/>
          <w:sz w:val="22"/>
          <w:szCs w:val="22"/>
          <w:lang w:bidi="x-none"/>
        </w:rPr>
        <w:tab/>
      </w:r>
      <w:r w:rsidR="00FF60B8">
        <w:rPr>
          <w:rFonts w:asciiTheme="minorHAnsi" w:eastAsia="Times New Roman" w:hAnsiTheme="minorHAnsi" w:cs="Calibri"/>
          <w:i/>
          <w:color w:val="000000"/>
          <w:sz w:val="20"/>
        </w:rPr>
        <w:t xml:space="preserve">Next meets on </w:t>
      </w:r>
      <w:r w:rsidR="006E3BA8">
        <w:rPr>
          <w:rFonts w:asciiTheme="minorHAnsi" w:eastAsia="Times New Roman" w:hAnsiTheme="minorHAnsi" w:cs="Calibri"/>
          <w:i/>
          <w:color w:val="000000"/>
          <w:sz w:val="20"/>
        </w:rPr>
        <w:t>December</w:t>
      </w:r>
      <w:r w:rsidR="00FF60B8">
        <w:rPr>
          <w:rFonts w:asciiTheme="minorHAnsi" w:eastAsia="Times New Roman" w:hAnsiTheme="minorHAnsi" w:cs="Calibri"/>
          <w:i/>
          <w:color w:val="000000"/>
          <w:sz w:val="20"/>
        </w:rPr>
        <w:t xml:space="preserve"> </w:t>
      </w:r>
      <w:r w:rsidR="006E3BA8">
        <w:rPr>
          <w:rFonts w:asciiTheme="minorHAnsi" w:eastAsia="Times New Roman" w:hAnsiTheme="minorHAnsi" w:cs="Calibri"/>
          <w:i/>
          <w:color w:val="000000"/>
          <w:sz w:val="20"/>
        </w:rPr>
        <w:t>6</w:t>
      </w:r>
      <w:r w:rsidR="006E3BA8">
        <w:rPr>
          <w:rFonts w:asciiTheme="minorHAnsi" w:eastAsia="Times New Roman" w:hAnsiTheme="minorHAnsi" w:cs="Calibri"/>
          <w:i/>
          <w:color w:val="000000"/>
          <w:sz w:val="20"/>
          <w:vertAlign w:val="superscript"/>
        </w:rPr>
        <w:t>th</w:t>
      </w:r>
      <w:r w:rsidR="006E3BA8">
        <w:rPr>
          <w:rFonts w:asciiTheme="minorHAnsi" w:eastAsia="Times New Roman" w:hAnsiTheme="minorHAnsi" w:cs="Calibri"/>
          <w:i/>
          <w:color w:val="000000"/>
          <w:sz w:val="20"/>
        </w:rPr>
        <w:t> from 11am-1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>pm in the President’s Conference Room</w:t>
      </w:r>
      <w:r w:rsidR="00FF60B8">
        <w:rPr>
          <w:rFonts w:asciiTheme="minorHAnsi" w:eastAsia="Times New Roman" w:hAnsiTheme="minorHAnsi" w:cs="Calibri"/>
          <w:i/>
          <w:color w:val="000000"/>
          <w:sz w:val="20"/>
        </w:rPr>
        <w:t>.</w:t>
      </w:r>
    </w:p>
    <w:p w14:paraId="3A060E31" w14:textId="52DABAAA" w:rsidR="002760C0" w:rsidRPr="007D7C95" w:rsidRDefault="002760C0" w:rsidP="007D7C95">
      <w:pPr>
        <w:rPr>
          <w:rFonts w:ascii="Cambria" w:hAnsi="Cambria"/>
          <w:sz w:val="22"/>
          <w:szCs w:val="22"/>
          <w:lang w:bidi="x-none"/>
        </w:rPr>
      </w:pPr>
    </w:p>
    <w:p w14:paraId="0BC0273C" w14:textId="48AD7C53" w:rsidR="007D7C95" w:rsidRDefault="007D7C95" w:rsidP="007D7C95">
      <w:pPr>
        <w:rPr>
          <w:rFonts w:ascii="Cambria" w:hAnsi="Cambria"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District Budget Advisory Committee</w:t>
      </w:r>
      <w:r>
        <w:rPr>
          <w:rFonts w:ascii="Cambria" w:hAnsi="Cambria"/>
          <w:sz w:val="22"/>
          <w:szCs w:val="22"/>
          <w:lang w:bidi="x-none"/>
        </w:rPr>
        <w:t xml:space="preserve"> (1 or 2 faculty)</w:t>
      </w:r>
    </w:p>
    <w:p w14:paraId="27CDDB25" w14:textId="77777777" w:rsidR="001B6D91" w:rsidRPr="001B6D91" w:rsidRDefault="001B6D91" w:rsidP="001B6D91">
      <w:pPr>
        <w:rPr>
          <w:rFonts w:asciiTheme="minorHAnsi" w:eastAsia="Times New Roman" w:hAnsiTheme="minorHAnsi"/>
          <w:i/>
          <w:sz w:val="20"/>
        </w:rPr>
      </w:pPr>
      <w:r w:rsidRPr="001B6D91">
        <w:rPr>
          <w:rFonts w:asciiTheme="minorHAnsi" w:hAnsiTheme="minorHAnsi"/>
          <w:sz w:val="20"/>
          <w:lang w:bidi="x-none"/>
        </w:rPr>
        <w:tab/>
      </w:r>
      <w:r w:rsidRPr="001B6D91">
        <w:rPr>
          <w:rFonts w:asciiTheme="minorHAnsi" w:hAnsiTheme="minorHAnsi"/>
          <w:i/>
          <w:sz w:val="20"/>
          <w:lang w:bidi="x-none"/>
        </w:rPr>
        <w:t xml:space="preserve">Usually 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>third Tuesday of the month, from 1:30-3pm in room 5971</w:t>
      </w:r>
    </w:p>
    <w:p w14:paraId="1F5CDD34" w14:textId="77777777" w:rsidR="001B6D91" w:rsidRPr="007D7C95" w:rsidRDefault="001B6D91" w:rsidP="007D7C95">
      <w:pPr>
        <w:rPr>
          <w:rFonts w:ascii="Cambria" w:hAnsi="Cambria"/>
          <w:sz w:val="22"/>
          <w:szCs w:val="22"/>
          <w:lang w:bidi="x-none"/>
        </w:rPr>
      </w:pP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1A595A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12/2/19</w:t>
            </w:r>
          </w:p>
        </w:tc>
        <w:tc>
          <w:tcPr>
            <w:tcW w:w="3150" w:type="dxa"/>
            <w:shd w:val="clear" w:color="auto" w:fill="auto"/>
          </w:tcPr>
          <w:p w14:paraId="75059129" w14:textId="63361641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/13/20</w:t>
            </w:r>
          </w:p>
          <w:p w14:paraId="719ED8B0" w14:textId="202794B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1/27/20</w:t>
            </w:r>
          </w:p>
          <w:p w14:paraId="75EBCF72" w14:textId="708A318F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10/20</w:t>
            </w:r>
          </w:p>
          <w:p w14:paraId="72823DD3" w14:textId="01FE7812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4/20</w:t>
            </w:r>
          </w:p>
          <w:p w14:paraId="098AB9C6" w14:textId="1A85F62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3/9/20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2C4B9D3D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20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1C2BEA5" w14:textId="66CF4190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45A44DF8" w14:textId="77149D71" w:rsidR="00CD61DC" w:rsidRPr="00CD61DC" w:rsidRDefault="00CD61DC" w:rsidP="00CD61DC">
      <w:pPr>
        <w:rPr>
          <w:rFonts w:asciiTheme="minorHAnsi" w:hAnsiTheme="minorHAnsi"/>
          <w:b/>
        </w:rPr>
      </w:pP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7770E53E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>
        <w:rPr>
          <w:rFonts w:ascii="Cambria" w:hAnsi="Cambria"/>
          <w:sz w:val="20"/>
        </w:rPr>
        <w:t>a (CNSL), Jordan Fong (FA/COMM)</w:t>
      </w:r>
      <w:r w:rsidRPr="007D7C95">
        <w:rPr>
          <w:rFonts w:ascii="Cambria" w:hAnsi="Cambria"/>
          <w:sz w:val="20"/>
        </w:rPr>
        <w:t xml:space="preserve">, Sara Cooper (BHS/Faculty Association Liaison), Lisa </w:t>
      </w:r>
      <w:proofErr w:type="spellStart"/>
      <w:r w:rsidRPr="007D7C95">
        <w:rPr>
          <w:rFonts w:ascii="Cambria" w:hAnsi="Cambria"/>
          <w:sz w:val="20"/>
        </w:rPr>
        <w:t>Eshman</w:t>
      </w:r>
      <w:proofErr w:type="spellEnd"/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000EF0">
        <w:rPr>
          <w:rFonts w:ascii="Cambria" w:hAnsi="Cambria"/>
          <w:sz w:val="20"/>
        </w:rPr>
        <w:t>Dixie. Macias</w:t>
      </w:r>
      <w:r w:rsidRPr="007D7C95">
        <w:rPr>
          <w:rFonts w:ascii="Cambria" w:hAnsi="Cambria"/>
          <w:sz w:val="20"/>
        </w:rPr>
        <w:t xml:space="preserve"> (KA/ATHL), 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>Leonardo Blas</w:t>
      </w:r>
      <w:r w:rsidR="00EA630C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216A"/>
    <w:rsid w:val="00D436A7"/>
    <w:rsid w:val="00D438D2"/>
    <w:rsid w:val="00D454B6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7C73"/>
    <w:rsid w:val="00F6161D"/>
    <w:rsid w:val="00F6447C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3542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3</cp:revision>
  <cp:lastPrinted>2019-11-18T21:21:00Z</cp:lastPrinted>
  <dcterms:created xsi:type="dcterms:W3CDTF">2019-11-25T22:57:00Z</dcterms:created>
  <dcterms:modified xsi:type="dcterms:W3CDTF">2019-11-26T06:36:00Z</dcterms:modified>
  <cp:category/>
</cp:coreProperties>
</file>