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0DF1F999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  <w:r w:rsidR="00F92BAF">
        <w:rPr>
          <w:rFonts w:ascii="Cambria" w:hAnsi="Cambria"/>
          <w:sz w:val="22"/>
        </w:rPr>
        <w:t>r</w:t>
      </w:r>
    </w:p>
    <w:p w14:paraId="3C40E423" w14:textId="45F7FF6F" w:rsidR="00844ADA" w:rsidRPr="00467A99" w:rsidRDefault="00B06905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January 6th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2998"/>
        <w:gridCol w:w="2436"/>
        <w:gridCol w:w="1944"/>
        <w:gridCol w:w="2186"/>
      </w:tblGrid>
      <w:tr w:rsidR="00D4216A" w:rsidRPr="00467A99" w14:paraId="0BE18DC1" w14:textId="6D2B53DF" w:rsidTr="00357E5E">
        <w:tc>
          <w:tcPr>
            <w:tcW w:w="936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27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1035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26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357E5E">
        <w:tc>
          <w:tcPr>
            <w:tcW w:w="936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27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26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357E5E">
        <w:tc>
          <w:tcPr>
            <w:tcW w:w="936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27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826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357E5E">
        <w:tc>
          <w:tcPr>
            <w:tcW w:w="936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27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357E5E">
        <w:tc>
          <w:tcPr>
            <w:tcW w:w="936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27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6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357E5E">
        <w:tc>
          <w:tcPr>
            <w:tcW w:w="936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274" w:type="pct"/>
          </w:tcPr>
          <w:p w14:paraId="23E0D73F" w14:textId="66B77D9D" w:rsidR="00D761A5" w:rsidRPr="009F79C1" w:rsidRDefault="00357E5E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ASDraftMinutes12.2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.19</w:t>
            </w:r>
          </w:p>
        </w:tc>
        <w:tc>
          <w:tcPr>
            <w:tcW w:w="1035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357E5E">
        <w:tc>
          <w:tcPr>
            <w:tcW w:w="936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274" w:type="pct"/>
          </w:tcPr>
          <w:p w14:paraId="4EE422E8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357E5E">
        <w:tc>
          <w:tcPr>
            <w:tcW w:w="936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27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7A572C04" w14:textId="77777777" w:rsidTr="00357E5E">
        <w:tc>
          <w:tcPr>
            <w:tcW w:w="936" w:type="pct"/>
          </w:tcPr>
          <w:p w14:paraId="4639EB4B" w14:textId="4362D575" w:rsidR="005220CD" w:rsidRPr="005220CD" w:rsidRDefault="00006179" w:rsidP="005220CD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Hiring Prioritization</w:t>
            </w:r>
          </w:p>
        </w:tc>
        <w:tc>
          <w:tcPr>
            <w:tcW w:w="1274" w:type="pct"/>
          </w:tcPr>
          <w:p w14:paraId="370486CC" w14:textId="049D7464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3B3FED3" w14:textId="0D2E07AC" w:rsidR="005220CD" w:rsidRDefault="002337F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6B43BFC3" w14:textId="07ABBE3E" w:rsidR="005220CD" w:rsidRDefault="00006179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21209740" w14:textId="40FEFC85" w:rsidR="005220CD" w:rsidRPr="00C846D7" w:rsidRDefault="00006179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discuss/inform </w:t>
            </w:r>
            <w:r w:rsidR="00357E5E">
              <w:rPr>
                <w:rFonts w:ascii="Cambria" w:hAnsi="Cambria"/>
                <w:sz w:val="18"/>
                <w:szCs w:val="18"/>
                <w:lang w:bidi="x-none"/>
              </w:rPr>
              <w:t>faculty prioritization procedure.</w:t>
            </w:r>
          </w:p>
        </w:tc>
      </w:tr>
      <w:tr w:rsidR="00D4216A" w:rsidRPr="00467A99" w14:paraId="6FF99003" w14:textId="61DDC861" w:rsidTr="00357E5E">
        <w:tc>
          <w:tcPr>
            <w:tcW w:w="936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274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2000AA" w14:textId="18DE8EFD" w:rsidTr="00357E5E">
        <w:tc>
          <w:tcPr>
            <w:tcW w:w="936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47202281" w14:textId="5977E555" w:rsidR="007D7C95" w:rsidRPr="007D7C95" w:rsidRDefault="007D7C95" w:rsidP="00D4216A">
            <w:pPr>
              <w:pStyle w:val="ListParagraph"/>
              <w:ind w:left="1440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27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6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357E5E">
        <w:tc>
          <w:tcPr>
            <w:tcW w:w="936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27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69367C65" w:rsidR="006E3BA8" w:rsidRPr="00357E5E" w:rsidRDefault="00357E5E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ASDraftMinutes12.2.</w:t>
      </w:r>
      <w:r w:rsidR="005220CD">
        <w:rPr>
          <w:rFonts w:ascii="Cambria" w:hAnsi="Cambria"/>
          <w:sz w:val="20"/>
          <w:lang w:bidi="x-none"/>
        </w:rPr>
        <w:t>19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5FD65082" w14:textId="77777777" w:rsidR="007D7C95" w:rsidRDefault="007D7C95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4D7B7B2" w14:textId="30048F9C" w:rsidR="007D7C95" w:rsidRPr="001B6D91" w:rsidRDefault="009747DC" w:rsidP="007D7C95">
      <w:pPr>
        <w:rPr>
          <w:rFonts w:ascii="Cambria" w:hAnsi="Cambria"/>
          <w:b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R&amp;R full time faculty rep</w:t>
      </w:r>
      <w:r w:rsidR="002760C0" w:rsidRPr="001B6D91">
        <w:rPr>
          <w:rFonts w:ascii="Cambria" w:hAnsi="Cambria"/>
          <w:b/>
          <w:sz w:val="22"/>
          <w:szCs w:val="22"/>
          <w:lang w:bidi="x-none"/>
        </w:rPr>
        <w:t xml:space="preserve"> </w:t>
      </w:r>
    </w:p>
    <w:p w14:paraId="47A7A2E6" w14:textId="30AA57DD" w:rsidR="002760C0" w:rsidRPr="001B6D91" w:rsidRDefault="002760C0" w:rsidP="002760C0">
      <w:pPr>
        <w:rPr>
          <w:rFonts w:ascii="Times New Roman" w:eastAsia="Times New Roman" w:hAnsi="Times New Roman"/>
          <w:i/>
          <w:sz w:val="20"/>
        </w:rPr>
      </w:pP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 w:rsidR="00FF60B8">
        <w:rPr>
          <w:rFonts w:asciiTheme="minorHAnsi" w:eastAsia="Times New Roman" w:hAnsiTheme="minorHAnsi" w:cs="Calibri"/>
          <w:i/>
          <w:color w:val="000000"/>
          <w:sz w:val="20"/>
        </w:rPr>
        <w:t xml:space="preserve">Next meets on </w:t>
      </w:r>
      <w:r w:rsidR="00357E5E">
        <w:rPr>
          <w:rFonts w:asciiTheme="minorHAnsi" w:eastAsia="Times New Roman" w:hAnsiTheme="minorHAnsi" w:cs="Calibri"/>
          <w:i/>
          <w:color w:val="000000"/>
          <w:sz w:val="20"/>
        </w:rPr>
        <w:t>January 17</w:t>
      </w:r>
      <w:proofErr w:type="gramStart"/>
      <w:r w:rsidR="00357E5E" w:rsidRPr="00357E5E">
        <w:rPr>
          <w:rFonts w:asciiTheme="minorHAnsi" w:eastAsia="Times New Roman" w:hAnsiTheme="minorHAnsi" w:cs="Calibri"/>
          <w:i/>
          <w:color w:val="000000"/>
          <w:sz w:val="20"/>
          <w:vertAlign w:val="superscript"/>
        </w:rPr>
        <w:t>th</w:t>
      </w:r>
      <w:r w:rsidR="00357E5E">
        <w:rPr>
          <w:rFonts w:asciiTheme="minorHAnsi" w:eastAsia="Times New Roman" w:hAnsiTheme="minorHAnsi" w:cs="Calibri"/>
          <w:i/>
          <w:color w:val="000000"/>
          <w:sz w:val="20"/>
        </w:rPr>
        <w:t xml:space="preserve"> </w:t>
      </w:r>
      <w:r w:rsidR="006E3BA8">
        <w:rPr>
          <w:rFonts w:asciiTheme="minorHAnsi" w:eastAsia="Times New Roman" w:hAnsiTheme="minorHAnsi" w:cs="Calibri"/>
          <w:i/>
          <w:color w:val="000000"/>
          <w:sz w:val="20"/>
        </w:rPr>
        <w:t> from</w:t>
      </w:r>
      <w:proofErr w:type="gramEnd"/>
      <w:r w:rsidR="006E3BA8">
        <w:rPr>
          <w:rFonts w:asciiTheme="minorHAnsi" w:eastAsia="Times New Roman" w:hAnsiTheme="minorHAnsi" w:cs="Calibri"/>
          <w:i/>
          <w:color w:val="000000"/>
          <w:sz w:val="20"/>
        </w:rPr>
        <w:t xml:space="preserve"> </w:t>
      </w:r>
      <w:r w:rsidR="00357E5E">
        <w:rPr>
          <w:rFonts w:asciiTheme="minorHAnsi" w:eastAsia="Times New Roman" w:hAnsiTheme="minorHAnsi" w:cs="Calibri"/>
          <w:i/>
          <w:color w:val="000000"/>
          <w:sz w:val="20"/>
        </w:rPr>
        <w:t>1pm-3pm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 xml:space="preserve"> in the President’s Conference Room</w:t>
      </w:r>
      <w:r w:rsidR="00FF60B8">
        <w:rPr>
          <w:rFonts w:asciiTheme="minorHAnsi" w:eastAsia="Times New Roman" w:hAnsiTheme="minorHAnsi" w:cs="Calibri"/>
          <w:i/>
          <w:color w:val="000000"/>
          <w:sz w:val="20"/>
        </w:rPr>
        <w:t>.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Default="001B6D91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77777777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0B23FE40" w:rsidR="00357E5E" w:rsidRPr="00B06905" w:rsidRDefault="00B06905" w:rsidP="001B6D91">
      <w:pPr>
        <w:rPr>
          <w:rFonts w:asciiTheme="minorHAnsi" w:eastAsia="Times New Roman" w:hAnsiTheme="minorHAnsi"/>
          <w:sz w:val="20"/>
        </w:rPr>
      </w:pPr>
      <w:r w:rsidRPr="00B06905">
        <w:rPr>
          <w:rFonts w:asciiTheme="minorHAnsi" w:eastAsia="Times New Roman" w:hAnsiTheme="minorHAnsi"/>
          <w:sz w:val="20"/>
        </w:rPr>
        <w:t xml:space="preserve">Update senate constitution </w:t>
      </w:r>
    </w:p>
    <w:p w14:paraId="1F5CDD34" w14:textId="77777777" w:rsidR="001B6D91" w:rsidRPr="007D7C95" w:rsidRDefault="001B6D91" w:rsidP="007D7C95">
      <w:pPr>
        <w:rPr>
          <w:rFonts w:ascii="Cambria" w:hAnsi="Cambria"/>
          <w:sz w:val="22"/>
          <w:szCs w:val="22"/>
          <w:lang w:bidi="x-none"/>
        </w:rPr>
      </w:pP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0" w:name="TenPlusOneList"/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1/6/20</w:t>
            </w:r>
          </w:p>
          <w:p w14:paraId="75059129" w14:textId="63361641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/13/20</w:t>
            </w:r>
          </w:p>
          <w:p w14:paraId="719ED8B0" w14:textId="202794B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1/27/20</w:t>
            </w:r>
          </w:p>
          <w:p w14:paraId="75EBCF72" w14:textId="708A318F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2C4B9D3D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1C2BEA5" w14:textId="66CF4190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45A44DF8" w14:textId="77149D71" w:rsidR="00CD61DC" w:rsidRPr="00CD61DC" w:rsidRDefault="00CD61DC" w:rsidP="00CD61DC">
      <w:pPr>
        <w:rPr>
          <w:rFonts w:asciiTheme="minorHAnsi" w:hAnsiTheme="minorHAnsi"/>
          <w:b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5815B2FA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bookmarkStart w:id="1" w:name="_GoBack"/>
      <w:bookmarkEnd w:id="1"/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52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216A"/>
    <w:rsid w:val="00D436A7"/>
    <w:rsid w:val="00D438D2"/>
    <w:rsid w:val="00D454B6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3382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3</cp:revision>
  <cp:lastPrinted>2019-11-18T21:21:00Z</cp:lastPrinted>
  <dcterms:created xsi:type="dcterms:W3CDTF">2019-12-13T07:32:00Z</dcterms:created>
  <dcterms:modified xsi:type="dcterms:W3CDTF">2019-12-13T07:40:00Z</dcterms:modified>
  <cp:category/>
</cp:coreProperties>
</file>