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78346E5F" w:rsidR="00844ADA" w:rsidRPr="00467A99" w:rsidRDefault="00344BC2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October 14th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4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071"/>
        <w:gridCol w:w="1536"/>
        <w:gridCol w:w="1608"/>
        <w:gridCol w:w="2050"/>
      </w:tblGrid>
      <w:tr w:rsidR="00D761A5" w:rsidRPr="00467A99" w14:paraId="0BE18DC1" w14:textId="6D2B53DF" w:rsidTr="009D5746">
        <w:tc>
          <w:tcPr>
            <w:tcW w:w="1761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917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679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710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32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761A5" w:rsidRPr="00467A99" w14:paraId="14C390FA" w14:textId="7DCBE8FC" w:rsidTr="009D5746">
        <w:tc>
          <w:tcPr>
            <w:tcW w:w="1761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917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710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2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52BB6181" w14:textId="6C0A80A3" w:rsidTr="009D5746">
        <w:tc>
          <w:tcPr>
            <w:tcW w:w="1761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917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710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2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4FEF3600" w14:textId="77777777" w:rsidTr="009D5746">
        <w:tc>
          <w:tcPr>
            <w:tcW w:w="1761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917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0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32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2E681B68" w14:textId="77777777" w:rsidTr="009D5746">
        <w:tc>
          <w:tcPr>
            <w:tcW w:w="1761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917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10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32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761A5" w:rsidRPr="00467A99" w14:paraId="638288B1" w14:textId="179CB67C" w:rsidTr="009D5746">
        <w:tc>
          <w:tcPr>
            <w:tcW w:w="1761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917" w:type="pct"/>
          </w:tcPr>
          <w:p w14:paraId="23E0D73F" w14:textId="0AA56999" w:rsidR="00D761A5" w:rsidRPr="009F79C1" w:rsidRDefault="005220CD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ASDraftMinutes9.30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.19</w:t>
            </w:r>
          </w:p>
        </w:tc>
        <w:tc>
          <w:tcPr>
            <w:tcW w:w="679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10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32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651D921F" w14:textId="220403EE" w:rsidTr="009D5746">
        <w:tc>
          <w:tcPr>
            <w:tcW w:w="1761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917" w:type="pct"/>
          </w:tcPr>
          <w:p w14:paraId="4EE422E8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10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32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5E4F59EE" w14:textId="13ED95D8" w:rsidTr="009D5746">
        <w:tc>
          <w:tcPr>
            <w:tcW w:w="1761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917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0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32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5220CD" w:rsidRPr="00467A99" w14:paraId="7A572C04" w14:textId="77777777" w:rsidTr="009D5746">
        <w:tc>
          <w:tcPr>
            <w:tcW w:w="1761" w:type="pct"/>
          </w:tcPr>
          <w:p w14:paraId="4639EB4B" w14:textId="6AC78B87" w:rsidR="005220CD" w:rsidRPr="005220CD" w:rsidRDefault="005220CD" w:rsidP="005220CD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 Finances</w:t>
            </w:r>
          </w:p>
        </w:tc>
        <w:tc>
          <w:tcPr>
            <w:tcW w:w="917" w:type="pct"/>
          </w:tcPr>
          <w:p w14:paraId="370486CC" w14:textId="77777777" w:rsidR="005220CD" w:rsidRDefault="005220C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43B3FED3" w14:textId="0440A4E5" w:rsidR="005220CD" w:rsidRDefault="005220C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>/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710" w:type="pct"/>
          </w:tcPr>
          <w:p w14:paraId="6B43BFC3" w14:textId="3C23DD80" w:rsidR="005220CD" w:rsidRDefault="0005703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32" w:type="pct"/>
          </w:tcPr>
          <w:p w14:paraId="21209740" w14:textId="67189057" w:rsidR="005220CD" w:rsidRPr="00C846D7" w:rsidRDefault="00353003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 xml:space="preserve">Reps will understand senate budget status, and will advise on </w:t>
            </w:r>
            <w:r w:rsidR="009747DC">
              <w:rPr>
                <w:rFonts w:ascii="Cambria" w:hAnsi="Cambria"/>
                <w:sz w:val="18"/>
                <w:szCs w:val="18"/>
                <w:lang w:bidi="x-none"/>
              </w:rPr>
              <w:t>future spending</w:t>
            </w:r>
          </w:p>
        </w:tc>
      </w:tr>
      <w:tr w:rsidR="005220CD" w:rsidRPr="00467A99" w14:paraId="648E660C" w14:textId="77777777" w:rsidTr="009D5746">
        <w:tc>
          <w:tcPr>
            <w:tcW w:w="1761" w:type="pct"/>
          </w:tcPr>
          <w:p w14:paraId="2EE60231" w14:textId="7642CCF8" w:rsidR="005220CD" w:rsidRDefault="005220CD" w:rsidP="005220CD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Law Pathway</w:t>
            </w:r>
            <w:r w:rsidR="00C846D7">
              <w:rPr>
                <w:rFonts w:ascii="Cambria" w:hAnsi="Cambria"/>
                <w:sz w:val="22"/>
                <w:lang w:bidi="x-none"/>
              </w:rPr>
              <w:t xml:space="preserve"> (1,4)</w:t>
            </w:r>
          </w:p>
        </w:tc>
        <w:tc>
          <w:tcPr>
            <w:tcW w:w="917" w:type="pct"/>
          </w:tcPr>
          <w:p w14:paraId="52F18449" w14:textId="77777777" w:rsidR="00315523" w:rsidRDefault="00315523" w:rsidP="00315523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proofErr w:type="spellStart"/>
            <w:r w:rsidRPr="00315523">
              <w:rPr>
                <w:rFonts w:ascii="Cambria" w:hAnsi="Cambria"/>
                <w:sz w:val="20"/>
                <w:lang w:bidi="x-none"/>
              </w:rPr>
              <w:t>AS_LawInitiative</w:t>
            </w:r>
            <w:proofErr w:type="spellEnd"/>
            <w:r w:rsidRPr="00315523">
              <w:rPr>
                <w:rFonts w:ascii="Cambria" w:hAnsi="Cambria"/>
                <w:sz w:val="20"/>
                <w:lang w:bidi="x-none"/>
              </w:rPr>
              <w:t xml:space="preserve"> (1)[2][5]</w:t>
            </w:r>
          </w:p>
          <w:p w14:paraId="48EEE2CC" w14:textId="77777777" w:rsidR="005220CD" w:rsidRDefault="005220C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0F7F9384" w14:textId="4B40B909" w:rsidR="005220CD" w:rsidRDefault="005220C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10" w:type="pct"/>
          </w:tcPr>
          <w:p w14:paraId="2C4AD58B" w14:textId="710DDEA9" w:rsidR="005220CD" w:rsidRDefault="0005703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32" w:type="pct"/>
          </w:tcPr>
          <w:p w14:paraId="4DEEFDE0" w14:textId="7E167478" w:rsidR="005220CD" w:rsidRPr="00C846D7" w:rsidRDefault="00353003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 xml:space="preserve">Discussion about the </w:t>
            </w:r>
            <w:r w:rsidR="00F412E9">
              <w:rPr>
                <w:rFonts w:ascii="Cambria" w:hAnsi="Cambria"/>
                <w:sz w:val="18"/>
                <w:szCs w:val="18"/>
                <w:lang w:bidi="x-none"/>
              </w:rPr>
              <w:t>law</w:t>
            </w:r>
            <w:r w:rsidR="009747DC">
              <w:rPr>
                <w:rFonts w:ascii="Cambria" w:hAnsi="Cambria"/>
                <w:sz w:val="18"/>
                <w:szCs w:val="18"/>
                <w:lang w:bidi="x-none"/>
              </w:rPr>
              <w:t xml:space="preserve"> </w:t>
            </w: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pathway, informed by constituent feedback</w:t>
            </w:r>
          </w:p>
        </w:tc>
      </w:tr>
      <w:tr w:rsidR="00D761A5" w:rsidRPr="00467A99" w14:paraId="6FF99003" w14:textId="61DDC861" w:rsidTr="009D5746">
        <w:tc>
          <w:tcPr>
            <w:tcW w:w="1761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917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0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2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9D5746" w:rsidRPr="00467A99" w14:paraId="10E01400" w14:textId="522DFC8A" w:rsidTr="009D5746">
        <w:tc>
          <w:tcPr>
            <w:tcW w:w="1761" w:type="pct"/>
          </w:tcPr>
          <w:p w14:paraId="3B325D51" w14:textId="18E3AA6A" w:rsidR="009D5746" w:rsidRDefault="009D5746" w:rsidP="009D5746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LRC Division Proposal</w:t>
            </w:r>
            <w:r w:rsidR="00C846D7">
              <w:rPr>
                <w:rFonts w:ascii="Cambria" w:hAnsi="Cambria"/>
                <w:sz w:val="22"/>
                <w:lang w:bidi="x-none"/>
              </w:rPr>
              <w:t xml:space="preserve"> (10)</w:t>
            </w:r>
          </w:p>
        </w:tc>
        <w:tc>
          <w:tcPr>
            <w:tcW w:w="917" w:type="pct"/>
          </w:tcPr>
          <w:p w14:paraId="05052E1E" w14:textId="77777777" w:rsidR="009D5746" w:rsidRDefault="009D5746" w:rsidP="009D5746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7B7B87AB" w14:textId="418B8687" w:rsidR="009D5746" w:rsidRDefault="009D5746" w:rsidP="009D5746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Starer</w:t>
            </w:r>
            <w:proofErr w:type="spellEnd"/>
          </w:p>
        </w:tc>
        <w:tc>
          <w:tcPr>
            <w:tcW w:w="710" w:type="pct"/>
          </w:tcPr>
          <w:p w14:paraId="1632B7E2" w14:textId="38EC697C" w:rsidR="009D5746" w:rsidRDefault="00057036" w:rsidP="009D5746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932" w:type="pct"/>
          </w:tcPr>
          <w:p w14:paraId="493E0F2D" w14:textId="1B5A7E28" w:rsidR="009D5746" w:rsidRPr="00C846D7" w:rsidRDefault="00353003" w:rsidP="009D5746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 xml:space="preserve">Reps will be able to articulate to their constituents the </w:t>
            </w:r>
            <w:r w:rsidR="009747DC">
              <w:rPr>
                <w:rFonts w:ascii="Cambria" w:hAnsi="Cambria"/>
                <w:sz w:val="18"/>
                <w:szCs w:val="18"/>
                <w:lang w:bidi="x-none"/>
              </w:rPr>
              <w:t xml:space="preserve">reasons </w:t>
            </w: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why the LRC division is being proposed</w:t>
            </w:r>
          </w:p>
        </w:tc>
      </w:tr>
      <w:tr w:rsidR="00D761A5" w:rsidRPr="00467A99" w14:paraId="13B50FA2" w14:textId="13251A90" w:rsidTr="009D5746">
        <w:tc>
          <w:tcPr>
            <w:tcW w:w="1761" w:type="pct"/>
          </w:tcPr>
          <w:p w14:paraId="759F98B4" w14:textId="6BCE10D1" w:rsidR="00D761A5" w:rsidRDefault="009D5746" w:rsidP="00881627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Veteran’s Day</w:t>
            </w:r>
            <w:r w:rsidR="00174A84">
              <w:rPr>
                <w:rFonts w:ascii="Cambria" w:hAnsi="Cambria"/>
                <w:sz w:val="22"/>
                <w:lang w:bidi="x-none"/>
              </w:rPr>
              <w:t xml:space="preserve"> Calendar</w:t>
            </w:r>
          </w:p>
        </w:tc>
        <w:tc>
          <w:tcPr>
            <w:tcW w:w="917" w:type="pct"/>
          </w:tcPr>
          <w:p w14:paraId="0974E29A" w14:textId="0EF42BC2" w:rsidR="00D761A5" w:rsidRPr="009F79C1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  <w:tc>
          <w:tcPr>
            <w:tcW w:w="679" w:type="pct"/>
          </w:tcPr>
          <w:p w14:paraId="1F2A74AB" w14:textId="42403CC6" w:rsidR="00D761A5" w:rsidRDefault="00174A84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</w:t>
            </w:r>
            <w:r w:rsidR="009D5746">
              <w:rPr>
                <w:rFonts w:ascii="Cambria" w:hAnsi="Cambria"/>
                <w:sz w:val="22"/>
                <w:lang w:bidi="x-none"/>
              </w:rPr>
              <w:t>to</w:t>
            </w:r>
            <w:proofErr w:type="spellEnd"/>
          </w:p>
        </w:tc>
        <w:tc>
          <w:tcPr>
            <w:tcW w:w="710" w:type="pct"/>
          </w:tcPr>
          <w:p w14:paraId="06B23A83" w14:textId="4D026C9F" w:rsidR="00D761A5" w:rsidRDefault="007D7C9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32" w:type="pct"/>
          </w:tcPr>
          <w:p w14:paraId="1178D43E" w14:textId="22731CD8" w:rsidR="00D761A5" w:rsidRPr="00C846D7" w:rsidRDefault="00C846D7" w:rsidP="00301B3B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Reps to be able to articulate to constituents what feedback is requested regarding Veteran’s Day holidays</w:t>
            </w:r>
          </w:p>
        </w:tc>
      </w:tr>
      <w:tr w:rsidR="00D761A5" w:rsidRPr="00467A99" w14:paraId="4F2000AA" w14:textId="18DE8EFD" w:rsidTr="009D5746">
        <w:tc>
          <w:tcPr>
            <w:tcW w:w="1761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4B718BAD" w14:textId="0DEFA937" w:rsidR="009D5746" w:rsidRPr="009D5746" w:rsidRDefault="009D5746" w:rsidP="009D5746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Guided Pathways Steering Committee</w:t>
            </w:r>
          </w:p>
          <w:p w14:paraId="47202281" w14:textId="5977E555" w:rsidR="007D7C95" w:rsidRPr="007D7C95" w:rsidRDefault="007D7C95" w:rsidP="00F85C3E">
            <w:pPr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917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10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32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6FDDB84D" w14:textId="49CA32D5" w:rsidTr="009D5746">
        <w:tc>
          <w:tcPr>
            <w:tcW w:w="1761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917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9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0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2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02D81095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66D1CD6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2F8060C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00CDF1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8D64772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lastRenderedPageBreak/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179CFB7A" w14:textId="4254D2DF" w:rsidR="009F79C1" w:rsidRDefault="005220CD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>ASDraftMinutes9.30.19</w:t>
      </w:r>
    </w:p>
    <w:p w14:paraId="009CB77C" w14:textId="3C738FCB" w:rsidR="009F79C1" w:rsidRDefault="00315523" w:rsidP="00D14B24">
      <w:pPr>
        <w:tabs>
          <w:tab w:val="left" w:pos="360"/>
        </w:tabs>
        <w:rPr>
          <w:rFonts w:ascii="Cambria" w:hAnsi="Cambria"/>
          <w:sz w:val="22"/>
        </w:rPr>
      </w:pPr>
      <w:proofErr w:type="spellStart"/>
      <w:r w:rsidRPr="00315523">
        <w:rPr>
          <w:rFonts w:ascii="Cambria" w:hAnsi="Cambria"/>
          <w:sz w:val="20"/>
          <w:lang w:bidi="x-none"/>
        </w:rPr>
        <w:t>AS_LawInitiative</w:t>
      </w:r>
      <w:proofErr w:type="spellEnd"/>
      <w:r w:rsidRPr="00315523">
        <w:rPr>
          <w:rFonts w:ascii="Cambria" w:hAnsi="Cambria"/>
          <w:sz w:val="20"/>
          <w:lang w:bidi="x-none"/>
        </w:rPr>
        <w:t xml:space="preserve"> (1)[2][5]</w:t>
      </w:r>
    </w:p>
    <w:p w14:paraId="1737BECE" w14:textId="77777777" w:rsidR="009F79C1" w:rsidRPr="00467A99" w:rsidRDefault="009F79C1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54AD3DF4" w14:textId="77777777" w:rsidR="007D7C95" w:rsidRDefault="007D7C95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82CF83A" w14:textId="4F19F215" w:rsidR="007D7C95" w:rsidRDefault="007D7C95" w:rsidP="00D14B24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2"/>
          <w:u w:val="single"/>
        </w:rPr>
        <w:t>Dean of Online Learning Search Committee</w:t>
      </w:r>
      <w:r>
        <w:rPr>
          <w:rFonts w:ascii="Cambria" w:hAnsi="Cambria"/>
          <w:sz w:val="22"/>
        </w:rPr>
        <w:t xml:space="preserve">: </w:t>
      </w:r>
      <w:r w:rsidR="00C846D7">
        <w:rPr>
          <w:rFonts w:ascii="Cambria" w:hAnsi="Cambria"/>
          <w:sz w:val="22"/>
        </w:rPr>
        <w:t xml:space="preserve">Kerri </w:t>
      </w:r>
      <w:proofErr w:type="spellStart"/>
      <w:r w:rsidR="00C846D7">
        <w:rPr>
          <w:rFonts w:ascii="Cambria" w:hAnsi="Cambria"/>
          <w:sz w:val="22"/>
        </w:rPr>
        <w:t>Ryer</w:t>
      </w:r>
      <w:proofErr w:type="spellEnd"/>
    </w:p>
    <w:p w14:paraId="78963153" w14:textId="77777777" w:rsidR="007D7C95" w:rsidRDefault="007D7C95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EF4380" w14:textId="2C0A6653" w:rsidR="007D7C95" w:rsidRDefault="007D7C95" w:rsidP="00D14B24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2"/>
          <w:u w:val="single"/>
        </w:rPr>
        <w:t>Student Grievance/Discipline Panel Pool</w:t>
      </w:r>
      <w:r>
        <w:rPr>
          <w:rFonts w:ascii="Cambria" w:hAnsi="Cambria"/>
          <w:sz w:val="22"/>
        </w:rPr>
        <w:t xml:space="preserve">: </w:t>
      </w:r>
      <w:proofErr w:type="spellStart"/>
      <w:r w:rsidR="00F11D5D">
        <w:rPr>
          <w:rFonts w:ascii="Cambria" w:hAnsi="Cambria"/>
          <w:sz w:val="22"/>
        </w:rPr>
        <w:t>Shaelyn</w:t>
      </w:r>
      <w:proofErr w:type="spellEnd"/>
      <w:r w:rsidR="00F11D5D">
        <w:rPr>
          <w:rFonts w:ascii="Cambria" w:hAnsi="Cambria"/>
          <w:sz w:val="22"/>
        </w:rPr>
        <w:t xml:space="preserve"> St. Onge-Cole</w:t>
      </w:r>
    </w:p>
    <w:p w14:paraId="23702927" w14:textId="77777777" w:rsidR="0070687E" w:rsidRDefault="0070687E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EE1D8AA" w14:textId="355172D4" w:rsidR="0070687E" w:rsidRDefault="0070687E" w:rsidP="00D14B24">
      <w:pPr>
        <w:tabs>
          <w:tab w:val="left" w:pos="360"/>
        </w:tabs>
        <w:rPr>
          <w:rFonts w:ascii="Cambria" w:hAnsi="Cambria"/>
          <w:sz w:val="22"/>
        </w:rPr>
      </w:pPr>
      <w:r w:rsidRPr="0070687E">
        <w:rPr>
          <w:rFonts w:ascii="Cambria" w:hAnsi="Cambria"/>
          <w:sz w:val="22"/>
          <w:u w:val="single"/>
        </w:rPr>
        <w:t>Melissa Wu</w:t>
      </w:r>
      <w:r>
        <w:rPr>
          <w:rFonts w:ascii="Cambria" w:hAnsi="Cambria"/>
          <w:sz w:val="22"/>
        </w:rPr>
        <w:t xml:space="preserve"> (Radiologic </w:t>
      </w:r>
      <w:proofErr w:type="spellStart"/>
      <w:r>
        <w:rPr>
          <w:rFonts w:ascii="Cambria" w:hAnsi="Cambria"/>
          <w:sz w:val="22"/>
        </w:rPr>
        <w:t>Technolgy</w:t>
      </w:r>
      <w:proofErr w:type="spellEnd"/>
      <w:r>
        <w:rPr>
          <w:rFonts w:ascii="Cambria" w:hAnsi="Cambria"/>
          <w:sz w:val="22"/>
        </w:rPr>
        <w:t>) TRC: Rachelle Campbell</w:t>
      </w:r>
      <w:r w:rsidR="00C846D7">
        <w:rPr>
          <w:rFonts w:ascii="Cambria" w:hAnsi="Cambria"/>
          <w:sz w:val="22"/>
        </w:rPr>
        <w:t>, Rosa Nguyen</w:t>
      </w:r>
      <w:r w:rsidR="009747DC">
        <w:rPr>
          <w:rFonts w:ascii="Cambria" w:hAnsi="Cambria"/>
          <w:sz w:val="22"/>
        </w:rPr>
        <w:t>, A</w:t>
      </w:r>
      <w:r w:rsidR="00057036">
        <w:rPr>
          <w:rFonts w:ascii="Cambria" w:hAnsi="Cambria"/>
          <w:sz w:val="22"/>
        </w:rPr>
        <w:t>t-large Rita O’Loughlin (FA/</w:t>
      </w:r>
      <w:proofErr w:type="spellStart"/>
      <w:r w:rsidR="00057036">
        <w:rPr>
          <w:rFonts w:ascii="Cambria" w:hAnsi="Cambria"/>
          <w:sz w:val="22"/>
        </w:rPr>
        <w:t>Comm</w:t>
      </w:r>
      <w:proofErr w:type="spellEnd"/>
      <w:r w:rsidR="00057036">
        <w:rPr>
          <w:rFonts w:ascii="Cambria" w:hAnsi="Cambria"/>
          <w:sz w:val="22"/>
        </w:rPr>
        <w:t>/</w:t>
      </w:r>
      <w:proofErr w:type="spellStart"/>
      <w:r w:rsidR="00057036">
        <w:rPr>
          <w:rFonts w:ascii="Cambria" w:hAnsi="Cambria"/>
          <w:sz w:val="22"/>
        </w:rPr>
        <w:t>Kines</w:t>
      </w:r>
      <w:proofErr w:type="spellEnd"/>
      <w:r w:rsidR="00057036">
        <w:rPr>
          <w:rFonts w:ascii="Cambria" w:hAnsi="Cambria"/>
          <w:sz w:val="22"/>
        </w:rPr>
        <w:t>)</w:t>
      </w:r>
    </w:p>
    <w:p w14:paraId="0D34E655" w14:textId="754C7A43" w:rsidR="00C842F9" w:rsidRDefault="0070687E" w:rsidP="00D14B24">
      <w:pPr>
        <w:tabs>
          <w:tab w:val="left" w:pos="360"/>
        </w:tabs>
        <w:rPr>
          <w:rFonts w:ascii="Cambria" w:hAnsi="Cambria"/>
          <w:sz w:val="22"/>
        </w:rPr>
      </w:pPr>
      <w:r w:rsidRPr="0070687E">
        <w:rPr>
          <w:rFonts w:ascii="Cambria" w:hAnsi="Cambria"/>
          <w:sz w:val="22"/>
          <w:u w:val="single"/>
        </w:rPr>
        <w:t>Luis Carrillo</w:t>
      </w:r>
      <w:r>
        <w:rPr>
          <w:rFonts w:ascii="Cambria" w:hAnsi="Cambria"/>
          <w:sz w:val="22"/>
        </w:rPr>
        <w:t xml:space="preserve"> (Counseling) TRC: </w:t>
      </w:r>
      <w:r w:rsidR="009F79C1">
        <w:rPr>
          <w:rFonts w:ascii="Cambria" w:hAnsi="Cambria"/>
          <w:sz w:val="22"/>
        </w:rPr>
        <w:t>Leticia Delgado, Anabel Arreola</w:t>
      </w:r>
      <w:r w:rsidR="009747DC">
        <w:rPr>
          <w:rFonts w:ascii="Cambria" w:hAnsi="Cambria"/>
          <w:sz w:val="22"/>
        </w:rPr>
        <w:t>, A</w:t>
      </w:r>
      <w:r w:rsidR="00C846D7">
        <w:rPr>
          <w:rFonts w:ascii="Cambria" w:hAnsi="Cambria"/>
          <w:sz w:val="22"/>
        </w:rPr>
        <w:t xml:space="preserve">t-large David </w:t>
      </w:r>
      <w:proofErr w:type="spellStart"/>
      <w:r w:rsidR="00C846D7">
        <w:rPr>
          <w:rFonts w:ascii="Cambria" w:hAnsi="Cambria"/>
          <w:sz w:val="22"/>
        </w:rPr>
        <w:t>Marasco</w:t>
      </w:r>
      <w:proofErr w:type="spellEnd"/>
      <w:r w:rsidR="00C846D7">
        <w:rPr>
          <w:rFonts w:ascii="Cambria" w:hAnsi="Cambria"/>
          <w:sz w:val="22"/>
        </w:rPr>
        <w:t xml:space="preserve"> (STEM)</w:t>
      </w:r>
    </w:p>
    <w:p w14:paraId="327C8CA4" w14:textId="0B4A6427" w:rsidR="00057036" w:rsidRDefault="00057036" w:rsidP="00D14B24">
      <w:pPr>
        <w:tabs>
          <w:tab w:val="left" w:pos="360"/>
        </w:tabs>
        <w:rPr>
          <w:rFonts w:ascii="Cambria" w:hAnsi="Cambria"/>
          <w:sz w:val="22"/>
        </w:rPr>
      </w:pPr>
      <w:r w:rsidRPr="00057036">
        <w:rPr>
          <w:rFonts w:ascii="Cambria" w:hAnsi="Cambria"/>
          <w:sz w:val="22"/>
          <w:u w:val="single"/>
        </w:rPr>
        <w:t xml:space="preserve">Christina </w:t>
      </w:r>
      <w:proofErr w:type="spellStart"/>
      <w:r w:rsidRPr="00057036">
        <w:rPr>
          <w:rFonts w:ascii="Cambria" w:hAnsi="Cambria"/>
          <w:sz w:val="22"/>
          <w:u w:val="single"/>
        </w:rPr>
        <w:t>Rosides</w:t>
      </w:r>
      <w:proofErr w:type="spellEnd"/>
      <w:r>
        <w:rPr>
          <w:rFonts w:ascii="Cambria" w:hAnsi="Cambria"/>
          <w:sz w:val="22"/>
        </w:rPr>
        <w:t xml:space="preserve"> (Chemistry): Kathy Armstrong, Richard </w:t>
      </w:r>
      <w:r w:rsidR="009747DC">
        <w:rPr>
          <w:rFonts w:ascii="Cambria" w:hAnsi="Cambria"/>
          <w:sz w:val="22"/>
        </w:rPr>
        <w:t>Daley, A</w:t>
      </w:r>
      <w:r>
        <w:rPr>
          <w:rFonts w:ascii="Cambria" w:hAnsi="Cambria"/>
          <w:sz w:val="22"/>
        </w:rPr>
        <w:t>t-large Tracee Cunningham (CNSL)</w:t>
      </w:r>
    </w:p>
    <w:p w14:paraId="11B7FD81" w14:textId="5E4740DE" w:rsidR="00057036" w:rsidRPr="00057036" w:rsidRDefault="00057036" w:rsidP="00D14B24">
      <w:pPr>
        <w:tabs>
          <w:tab w:val="left" w:pos="360"/>
        </w:tabs>
        <w:rPr>
          <w:rFonts w:ascii="Cambria" w:hAnsi="Cambria"/>
          <w:sz w:val="22"/>
        </w:rPr>
      </w:pPr>
      <w:r w:rsidRPr="00057036">
        <w:rPr>
          <w:rFonts w:ascii="Cambria" w:hAnsi="Cambria"/>
          <w:sz w:val="22"/>
          <w:u w:val="single"/>
        </w:rPr>
        <w:t xml:space="preserve">Michelle </w:t>
      </w:r>
      <w:proofErr w:type="spellStart"/>
      <w:r w:rsidRPr="00057036">
        <w:rPr>
          <w:rFonts w:ascii="Cambria" w:hAnsi="Cambria"/>
          <w:sz w:val="22"/>
          <w:u w:val="single"/>
        </w:rPr>
        <w:t>McNeary</w:t>
      </w:r>
      <w:proofErr w:type="spellEnd"/>
      <w:r>
        <w:rPr>
          <w:rFonts w:ascii="Cambria" w:hAnsi="Cambria"/>
          <w:sz w:val="22"/>
        </w:rPr>
        <w:t xml:space="preserve"> (</w:t>
      </w:r>
      <w:proofErr w:type="spellStart"/>
      <w:r w:rsidR="009747DC">
        <w:rPr>
          <w:rFonts w:ascii="Cambria" w:hAnsi="Cambria"/>
          <w:sz w:val="22"/>
        </w:rPr>
        <w:t>Esll</w:t>
      </w:r>
      <w:proofErr w:type="spellEnd"/>
      <w:r w:rsidR="009747DC">
        <w:rPr>
          <w:rFonts w:ascii="Cambria" w:hAnsi="Cambria"/>
          <w:sz w:val="22"/>
        </w:rPr>
        <w:t>): Katie Ha, Susie Huerta, A</w:t>
      </w:r>
      <w:r>
        <w:rPr>
          <w:rFonts w:ascii="Cambria" w:hAnsi="Cambria"/>
          <w:sz w:val="22"/>
        </w:rPr>
        <w:t xml:space="preserve">t-large Zach </w:t>
      </w:r>
      <w:proofErr w:type="spellStart"/>
      <w:r>
        <w:rPr>
          <w:rFonts w:ascii="Cambria" w:hAnsi="Cambria"/>
          <w:sz w:val="22"/>
        </w:rPr>
        <w:t>Cembellin</w:t>
      </w:r>
      <w:proofErr w:type="spellEnd"/>
      <w:r>
        <w:rPr>
          <w:rFonts w:ascii="Cambria" w:hAnsi="Cambria"/>
          <w:sz w:val="22"/>
        </w:rPr>
        <w:t xml:space="preserve"> (Math)</w:t>
      </w:r>
    </w:p>
    <w:p w14:paraId="42674EF7" w14:textId="77777777" w:rsidR="009F79C1" w:rsidRDefault="009F79C1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4174FEE1" w14:textId="73C2A253" w:rsidR="00C842F9" w:rsidRPr="00F11D5D" w:rsidRDefault="00F11D5D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  <w:u w:val="single"/>
        </w:rPr>
        <w:t>David McCormick TRC:</w:t>
      </w:r>
      <w:r>
        <w:rPr>
          <w:rFonts w:ascii="Cambria" w:hAnsi="Cambria"/>
          <w:sz w:val="22"/>
        </w:rPr>
        <w:t xml:space="preserve"> Allison Herman to replace </w:t>
      </w:r>
      <w:proofErr w:type="spellStart"/>
      <w:r>
        <w:rPr>
          <w:rFonts w:ascii="Cambria" w:hAnsi="Cambria"/>
          <w:sz w:val="22"/>
        </w:rPr>
        <w:t>Najwa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Jardali</w:t>
      </w:r>
      <w:proofErr w:type="spellEnd"/>
    </w:p>
    <w:p w14:paraId="289E2C02" w14:textId="77777777" w:rsidR="00C846D7" w:rsidRDefault="00C846D7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570B1C1F" w14:textId="1D46B708" w:rsidR="00C846D7" w:rsidRDefault="00C846D7" w:rsidP="00D14B24">
      <w:pPr>
        <w:tabs>
          <w:tab w:val="left" w:pos="360"/>
        </w:tabs>
        <w:rPr>
          <w:rFonts w:ascii="Cambria" w:hAnsi="Cambria"/>
          <w:sz w:val="22"/>
        </w:rPr>
      </w:pPr>
      <w:r w:rsidRPr="00C846D7">
        <w:rPr>
          <w:rFonts w:ascii="Cambria" w:hAnsi="Cambria"/>
          <w:sz w:val="22"/>
          <w:u w:val="single"/>
        </w:rPr>
        <w:t>Educational Technology Advisory Committee</w:t>
      </w:r>
      <w:r>
        <w:rPr>
          <w:rFonts w:ascii="Cambria" w:hAnsi="Cambria"/>
          <w:sz w:val="22"/>
          <w:u w:val="single"/>
        </w:rPr>
        <w:t xml:space="preserve"> (ETAC)</w:t>
      </w:r>
      <w:r>
        <w:rPr>
          <w:rFonts w:ascii="Cambria" w:hAnsi="Cambria"/>
          <w:sz w:val="22"/>
        </w:rPr>
        <w:t xml:space="preserve">: Allison </w:t>
      </w:r>
      <w:proofErr w:type="spellStart"/>
      <w:r>
        <w:rPr>
          <w:rFonts w:ascii="Cambria" w:hAnsi="Cambria"/>
          <w:sz w:val="22"/>
        </w:rPr>
        <w:t>Meezan</w:t>
      </w:r>
      <w:proofErr w:type="spellEnd"/>
    </w:p>
    <w:p w14:paraId="7E9A17CD" w14:textId="77777777" w:rsidR="007D7C95" w:rsidRDefault="007D7C95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26045A51" w14:textId="5B3CFBEA" w:rsidR="00F11D5D" w:rsidRDefault="00F11D5D" w:rsidP="00D14B24">
      <w:pPr>
        <w:tabs>
          <w:tab w:val="left" w:pos="360"/>
        </w:tabs>
        <w:rPr>
          <w:rFonts w:ascii="Cambria" w:hAnsi="Cambria"/>
          <w:sz w:val="22"/>
        </w:rPr>
      </w:pPr>
      <w:r w:rsidRPr="00F11D5D">
        <w:rPr>
          <w:rFonts w:ascii="Cambria" w:hAnsi="Cambria"/>
          <w:sz w:val="22"/>
          <w:u w:val="single"/>
        </w:rPr>
        <w:t>Program Review Readers</w:t>
      </w:r>
      <w:r>
        <w:rPr>
          <w:rFonts w:ascii="Cambria" w:hAnsi="Cambria"/>
          <w:sz w:val="22"/>
        </w:rPr>
        <w:t>: Mary Thomas (LIBR), Karen Erickson (BIO), Susie Huerta (ENGL)</w:t>
      </w:r>
    </w:p>
    <w:p w14:paraId="46F14C64" w14:textId="77777777" w:rsidR="007D7C95" w:rsidRPr="007D7C95" w:rsidRDefault="007D7C95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5FD65082" w14:textId="77777777" w:rsidR="007D7C95" w:rsidRDefault="007D7C95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4D7B7B2" w14:textId="6AD7E261" w:rsidR="007D7C95" w:rsidRPr="007D7C95" w:rsidRDefault="009747DC" w:rsidP="007D7C95">
      <w:pPr>
        <w:rPr>
          <w:rFonts w:ascii="Cambria" w:hAnsi="Cambria"/>
          <w:sz w:val="22"/>
          <w:szCs w:val="22"/>
          <w:lang w:bidi="x-none"/>
        </w:rPr>
      </w:pPr>
      <w:r>
        <w:rPr>
          <w:rFonts w:ascii="Cambria" w:hAnsi="Cambria"/>
          <w:sz w:val="22"/>
          <w:szCs w:val="22"/>
          <w:lang w:bidi="x-none"/>
        </w:rPr>
        <w:t>R&amp;R full time faculty rep</w:t>
      </w:r>
    </w:p>
    <w:p w14:paraId="0BC0273C" w14:textId="48AD7C53" w:rsidR="007D7C95" w:rsidRPr="007D7C95" w:rsidRDefault="007D7C95" w:rsidP="007D7C95">
      <w:pPr>
        <w:rPr>
          <w:rFonts w:ascii="Cambria" w:hAnsi="Cambria"/>
          <w:sz w:val="22"/>
          <w:szCs w:val="22"/>
          <w:lang w:bidi="x-none"/>
        </w:rPr>
      </w:pPr>
      <w:r w:rsidRPr="007D7C95">
        <w:rPr>
          <w:rFonts w:ascii="Cambria" w:hAnsi="Cambria"/>
          <w:sz w:val="22"/>
          <w:szCs w:val="22"/>
          <w:lang w:bidi="x-none"/>
        </w:rPr>
        <w:t>District Budget Advisory Committee</w:t>
      </w:r>
      <w:r>
        <w:rPr>
          <w:rFonts w:ascii="Cambria" w:hAnsi="Cambria"/>
          <w:sz w:val="22"/>
          <w:szCs w:val="22"/>
          <w:lang w:bidi="x-none"/>
        </w:rPr>
        <w:t xml:space="preserve"> (1 or 2 faculty)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0" w:name="TenPlusOneList"/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  <w:bookmarkStart w:id="1" w:name="_GoBack"/>
      <w:bookmarkEnd w:id="1"/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9/30/19</w:t>
            </w:r>
          </w:p>
          <w:p w14:paraId="2701171C" w14:textId="12ACC8F8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10/1</w:t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4/19</w:t>
            </w:r>
          </w:p>
          <w:p w14:paraId="6FE04777" w14:textId="3E594B52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10/28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</w:t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18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9</w:t>
            </w:r>
          </w:p>
          <w:p w14:paraId="69838155" w14:textId="7888B2C7" w:rsidR="009A4C7C" w:rsidRPr="001A595A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12/2/19</w:t>
            </w:r>
          </w:p>
        </w:tc>
        <w:tc>
          <w:tcPr>
            <w:tcW w:w="3150" w:type="dxa"/>
            <w:shd w:val="clear" w:color="auto" w:fill="auto"/>
          </w:tcPr>
          <w:p w14:paraId="75059129" w14:textId="63361641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/13/20</w:t>
            </w:r>
          </w:p>
          <w:p w14:paraId="719ED8B0" w14:textId="202794B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1/27/20</w:t>
            </w:r>
          </w:p>
          <w:p w14:paraId="75EBCF72" w14:textId="708A318F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10/20</w:t>
            </w:r>
          </w:p>
          <w:p w14:paraId="72823DD3" w14:textId="01FE7812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4/20</w:t>
            </w:r>
          </w:p>
          <w:p w14:paraId="098AB9C6" w14:textId="1A85F62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3/9/20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2C4B9D3D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20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1C2BEA5" w14:textId="66CF4190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0808F2DD" w14:textId="58DA4470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45A44DF8" w14:textId="77149D71" w:rsidR="00CD61DC" w:rsidRPr="00CD61DC" w:rsidRDefault="00CD61DC" w:rsidP="00CD61DC">
      <w:pPr>
        <w:rPr>
          <w:rFonts w:asciiTheme="minorHAnsi" w:hAnsiTheme="minorHAnsi"/>
          <w:b/>
        </w:rPr>
      </w:pP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4204164A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Villanueva (CNSL), Jordan Fong (FA/COMM), Joy Holland (FA/COMM), Sara Cooper (BHS/Faculty Association Liaison), Lisa </w:t>
      </w:r>
      <w:proofErr w:type="spellStart"/>
      <w:r w:rsidRPr="007D7C95">
        <w:rPr>
          <w:rFonts w:ascii="Cambria" w:hAnsi="Cambria"/>
          <w:sz w:val="20"/>
        </w:rPr>
        <w:t>Eshman</w:t>
      </w:r>
      <w:proofErr w:type="spellEnd"/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000EF0">
        <w:rPr>
          <w:rFonts w:ascii="Cambria" w:hAnsi="Cambria"/>
          <w:sz w:val="20"/>
        </w:rPr>
        <w:t>Dixie. Macias</w:t>
      </w:r>
      <w:r w:rsidRPr="007D7C95">
        <w:rPr>
          <w:rFonts w:ascii="Cambria" w:hAnsi="Cambria"/>
          <w:sz w:val="20"/>
        </w:rPr>
        <w:t xml:space="preserve"> (KA/ATHL), 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 xml:space="preserve">Leonardo </w:t>
      </w:r>
      <w:proofErr w:type="gramStart"/>
      <w:r>
        <w:rPr>
          <w:rFonts w:ascii="Cambria" w:hAnsi="Cambria"/>
          <w:sz w:val="22"/>
        </w:rPr>
        <w:t>Blas(</w:t>
      </w:r>
      <w:proofErr w:type="gramEnd"/>
      <w:r>
        <w:rPr>
          <w:rFonts w:ascii="Cambria" w:hAnsi="Cambria"/>
          <w:sz w:val="22"/>
        </w:rPr>
        <w:t>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32A96"/>
    <w:rsid w:val="00333E84"/>
    <w:rsid w:val="00334A3D"/>
    <w:rsid w:val="00344784"/>
    <w:rsid w:val="00344BC2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DFB"/>
    <w:rsid w:val="006F5146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1CF2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9C1"/>
    <w:rsid w:val="009F7CBF"/>
    <w:rsid w:val="009F7F5A"/>
    <w:rsid w:val="009F7F97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36A7"/>
    <w:rsid w:val="00D438D2"/>
    <w:rsid w:val="00D454B6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7C73"/>
    <w:rsid w:val="00F6161D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4403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8</cp:revision>
  <cp:lastPrinted>2019-09-30T20:19:00Z</cp:lastPrinted>
  <dcterms:created xsi:type="dcterms:W3CDTF">2019-10-10T23:50:00Z</dcterms:created>
  <dcterms:modified xsi:type="dcterms:W3CDTF">2019-10-11T06:15:00Z</dcterms:modified>
  <cp:category/>
</cp:coreProperties>
</file>