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3BD" w:rsidRPr="00E62DD6" w:rsidRDefault="00E62DD6" w:rsidP="00E62DD6">
      <w:pPr>
        <w:jc w:val="center"/>
        <w:rPr>
          <w:b/>
        </w:rPr>
      </w:pPr>
      <w:r>
        <w:rPr>
          <w:b/>
        </w:rPr>
        <w:t>STRUCTURES FOR PARTICIPATION</w:t>
      </w:r>
    </w:p>
    <w:p w:rsidR="00E62DD6" w:rsidRDefault="00E62DD6" w:rsidP="00E62DD6">
      <w:pPr>
        <w:jc w:val="center"/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9576"/>
      </w:tblGrid>
      <w:tr w:rsidR="00421185" w:rsidTr="00421185">
        <w:tc>
          <w:tcPr>
            <w:tcW w:w="9576" w:type="dxa"/>
            <w:shd w:val="clear" w:color="auto" w:fill="000000"/>
          </w:tcPr>
          <w:p w:rsidR="00421185" w:rsidRPr="00421185" w:rsidRDefault="00421185" w:rsidP="00421185">
            <w:pPr>
              <w:jc w:val="center"/>
              <w:rPr>
                <w:b/>
                <w:color w:val="FFFFFF" w:themeColor="background1"/>
              </w:rPr>
            </w:pPr>
            <w:r w:rsidRPr="00421185">
              <w:rPr>
                <w:b/>
                <w:color w:val="FFFFFF" w:themeColor="background1"/>
              </w:rPr>
              <w:t>PARTICIPATORY GOVERNANCE GROUP</w:t>
            </w:r>
          </w:p>
        </w:tc>
      </w:tr>
    </w:tbl>
    <w:p w:rsidR="00E62DD6" w:rsidRDefault="00E62DD6" w:rsidP="00E62DD6">
      <w:pPr>
        <w:rPr>
          <w:sz w:val="20"/>
          <w:szCs w:val="20"/>
        </w:rPr>
      </w:pPr>
      <w:r>
        <w:rPr>
          <w:sz w:val="20"/>
          <w:szCs w:val="20"/>
        </w:rPr>
        <w:t>Committee or council consisting of constituent representatives designated or selected to act in an advisory capacity that meets on a regular basis. The charge of Foothill College governance committees or councils is to communicate ideas, concer</w:t>
      </w:r>
      <w:bookmarkStart w:id="0" w:name="_GoBack"/>
      <w:bookmarkEnd w:id="0"/>
      <w:r>
        <w:rPr>
          <w:sz w:val="20"/>
          <w:szCs w:val="20"/>
        </w:rPr>
        <w:t>ns, and recommendations through dialogue between policy or advisory groups, the Planning and Resource Council (</w:t>
      </w:r>
      <w:proofErr w:type="spellStart"/>
      <w:r>
        <w:rPr>
          <w:sz w:val="20"/>
          <w:szCs w:val="20"/>
        </w:rPr>
        <w:t>PaRC</w:t>
      </w:r>
      <w:proofErr w:type="spellEnd"/>
      <w:r>
        <w:rPr>
          <w:sz w:val="20"/>
          <w:szCs w:val="20"/>
        </w:rPr>
        <w:t>), and their constituents. In addition, Foothill – De Anza governance groups serve a similar role in facilitating the communication of ideas, concerns, and recommendations through dialogue between policy and advisory groups across the District.</w:t>
      </w:r>
    </w:p>
    <w:p w:rsidR="00E62DD6" w:rsidRDefault="00E62DD6" w:rsidP="00E62DD6">
      <w:pPr>
        <w:rPr>
          <w:sz w:val="20"/>
          <w:szCs w:val="20"/>
        </w:rPr>
      </w:pPr>
    </w:p>
    <w:p w:rsidR="00E62DD6" w:rsidRDefault="00E62DD6" w:rsidP="00E62DD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62DD6">
        <w:rPr>
          <w:sz w:val="20"/>
          <w:szCs w:val="20"/>
        </w:rPr>
        <w:t>Planning and Resource Council (</w:t>
      </w:r>
      <w:proofErr w:type="spellStart"/>
      <w:r w:rsidRPr="00E62DD6">
        <w:rPr>
          <w:sz w:val="20"/>
          <w:szCs w:val="20"/>
        </w:rPr>
        <w:t>PaRC</w:t>
      </w:r>
      <w:proofErr w:type="spellEnd"/>
      <w:r w:rsidRPr="00E62DD6">
        <w:rPr>
          <w:sz w:val="20"/>
          <w:szCs w:val="20"/>
        </w:rPr>
        <w:t>)</w:t>
      </w:r>
    </w:p>
    <w:p w:rsidR="00E62DD6" w:rsidRDefault="00E62DD6" w:rsidP="00E62DD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62DD6">
        <w:rPr>
          <w:sz w:val="20"/>
          <w:szCs w:val="20"/>
        </w:rPr>
        <w:t xml:space="preserve">Core Mission Workgroups </w:t>
      </w:r>
      <w:r w:rsidRPr="0058236F">
        <w:rPr>
          <w:i/>
          <w:sz w:val="16"/>
          <w:szCs w:val="16"/>
        </w:rPr>
        <w:t>(Basic Skills, Transfer, Workforce, Student Equity, Operations Planning)</w:t>
      </w:r>
    </w:p>
    <w:p w:rsidR="00E62DD6" w:rsidRDefault="00E62DD6" w:rsidP="00E62DD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Academic Senate</w:t>
      </w:r>
    </w:p>
    <w:p w:rsidR="00E62DD6" w:rsidRDefault="00E62DD6" w:rsidP="00E62DD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Classified Senate</w:t>
      </w:r>
    </w:p>
    <w:p w:rsidR="00E62DD6" w:rsidRPr="00E62DD6" w:rsidRDefault="00E62DD6" w:rsidP="00E62DD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Associated Students of Foothill College (ASFC)</w:t>
      </w:r>
    </w:p>
    <w:p w:rsidR="00E62DD6" w:rsidRDefault="00E62DD6" w:rsidP="00E62DD6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9576"/>
      </w:tblGrid>
      <w:tr w:rsidR="00421185" w:rsidTr="00421185">
        <w:tc>
          <w:tcPr>
            <w:tcW w:w="9576" w:type="dxa"/>
            <w:shd w:val="clear" w:color="auto" w:fill="000000"/>
          </w:tcPr>
          <w:p w:rsidR="00421185" w:rsidRPr="00421185" w:rsidRDefault="00421185" w:rsidP="00421185">
            <w:pPr>
              <w:jc w:val="center"/>
              <w:rPr>
                <w:b/>
                <w:color w:val="FFFFFF" w:themeColor="background1"/>
              </w:rPr>
            </w:pPr>
            <w:r w:rsidRPr="00421185">
              <w:rPr>
                <w:b/>
                <w:color w:val="FFFFFF" w:themeColor="background1"/>
              </w:rPr>
              <w:t>OPERATIONAL GROUP</w:t>
            </w:r>
          </w:p>
        </w:tc>
      </w:tr>
    </w:tbl>
    <w:p w:rsidR="00E62DD6" w:rsidRDefault="00E62DD6" w:rsidP="00E62DD6">
      <w:pPr>
        <w:rPr>
          <w:sz w:val="20"/>
          <w:szCs w:val="20"/>
        </w:rPr>
      </w:pPr>
      <w:r w:rsidRPr="00E62DD6">
        <w:rPr>
          <w:sz w:val="20"/>
          <w:szCs w:val="20"/>
        </w:rPr>
        <w:t>Standing committee or council intended to consider all matters pertaining to procedural issues as defined by the role of the members.</w:t>
      </w:r>
    </w:p>
    <w:p w:rsidR="00E62DD6" w:rsidRDefault="00E62DD6" w:rsidP="00E62DD6">
      <w:pPr>
        <w:rPr>
          <w:sz w:val="20"/>
          <w:szCs w:val="20"/>
        </w:rPr>
      </w:pPr>
    </w:p>
    <w:p w:rsidR="00E62DD6" w:rsidRDefault="00E62DD6" w:rsidP="00E62DD6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Academic Council</w:t>
      </w:r>
    </w:p>
    <w:p w:rsidR="00E62DD6" w:rsidRDefault="00E62DD6" w:rsidP="00E62DD6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Admin Council</w:t>
      </w:r>
    </w:p>
    <w:p w:rsidR="00E62DD6" w:rsidRDefault="00E62DD6" w:rsidP="00E62DD6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Instructional Deans</w:t>
      </w:r>
    </w:p>
    <w:p w:rsidR="00E62DD6" w:rsidRDefault="00E62DD6" w:rsidP="00E62DD6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President’s Cabinet</w:t>
      </w:r>
    </w:p>
    <w:p w:rsidR="00E62DD6" w:rsidRDefault="00E62DD6" w:rsidP="00E62DD6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Scheduling Committee</w:t>
      </w:r>
    </w:p>
    <w:p w:rsidR="00E62DD6" w:rsidRDefault="00E62DD6" w:rsidP="00E62DD6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Scholarship Committee</w:t>
      </w:r>
    </w:p>
    <w:p w:rsidR="00E62DD6" w:rsidRPr="00E62DD6" w:rsidRDefault="00E62DD6" w:rsidP="00E62DD6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SSSP Advisory Council</w:t>
      </w:r>
    </w:p>
    <w:p w:rsidR="00E62DD6" w:rsidRDefault="00E62DD6" w:rsidP="00E62DD6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9576"/>
      </w:tblGrid>
      <w:tr w:rsidR="00421185" w:rsidRPr="00421185" w:rsidTr="00421185">
        <w:tc>
          <w:tcPr>
            <w:tcW w:w="9576" w:type="dxa"/>
            <w:shd w:val="clear" w:color="auto" w:fill="000000"/>
          </w:tcPr>
          <w:p w:rsidR="00421185" w:rsidRPr="00421185" w:rsidRDefault="00421185" w:rsidP="00421185">
            <w:pPr>
              <w:jc w:val="center"/>
              <w:rPr>
                <w:b/>
                <w:color w:val="FFFFFF" w:themeColor="background1"/>
              </w:rPr>
            </w:pPr>
            <w:r w:rsidRPr="00421185">
              <w:rPr>
                <w:b/>
                <w:color w:val="FFFFFF" w:themeColor="background1"/>
              </w:rPr>
              <w:t>SUBCOMMITTEE</w:t>
            </w:r>
          </w:p>
        </w:tc>
      </w:tr>
    </w:tbl>
    <w:p w:rsidR="00E62DD6" w:rsidRDefault="00E62DD6" w:rsidP="00E62DD6">
      <w:pPr>
        <w:rPr>
          <w:sz w:val="20"/>
          <w:szCs w:val="20"/>
        </w:rPr>
      </w:pPr>
      <w:r w:rsidRPr="00E62DD6">
        <w:rPr>
          <w:sz w:val="20"/>
          <w:szCs w:val="20"/>
        </w:rPr>
        <w:t>A permanent subgroup convened by a standing committee or council designated to consider specific subjects in detail for recommendations back to the standing committee or council. The chair must be a member of the committee or council to which it reports. Other members need not be members of the committee to which it reports.</w:t>
      </w:r>
    </w:p>
    <w:p w:rsidR="00E62DD6" w:rsidRDefault="00E62DD6" w:rsidP="00E62DD6">
      <w:pPr>
        <w:rPr>
          <w:sz w:val="20"/>
          <w:szCs w:val="20"/>
        </w:rPr>
      </w:pPr>
    </w:p>
    <w:p w:rsidR="00E62DD6" w:rsidRDefault="00E62DD6" w:rsidP="00E62DD6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Curriculum Committee </w:t>
      </w:r>
      <w:r w:rsidRPr="00E62DD6">
        <w:rPr>
          <w:i/>
          <w:sz w:val="16"/>
          <w:szCs w:val="16"/>
        </w:rPr>
        <w:t>(subcommittee of Academic Senate)</w:t>
      </w:r>
    </w:p>
    <w:p w:rsidR="00E62DD6" w:rsidRDefault="00E62DD6" w:rsidP="00E62DD6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Non-Credit Curriculum Committee </w:t>
      </w:r>
      <w:r w:rsidRPr="00E62DD6">
        <w:rPr>
          <w:i/>
          <w:sz w:val="16"/>
          <w:szCs w:val="16"/>
        </w:rPr>
        <w:t>(subcommittee of Academic Senate)</w:t>
      </w:r>
    </w:p>
    <w:p w:rsidR="00E62DD6" w:rsidRDefault="00E62DD6" w:rsidP="00E62DD6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Accreditation Steering &amp; Planning Committee </w:t>
      </w:r>
      <w:r>
        <w:rPr>
          <w:i/>
          <w:sz w:val="16"/>
          <w:szCs w:val="16"/>
        </w:rPr>
        <w:t xml:space="preserve">(subcommittee of </w:t>
      </w:r>
      <w:proofErr w:type="spellStart"/>
      <w:r>
        <w:rPr>
          <w:i/>
          <w:sz w:val="16"/>
          <w:szCs w:val="16"/>
        </w:rPr>
        <w:t>PaRC</w:t>
      </w:r>
      <w:proofErr w:type="spellEnd"/>
      <w:r w:rsidRPr="00E62DD6">
        <w:rPr>
          <w:i/>
          <w:sz w:val="16"/>
          <w:szCs w:val="16"/>
        </w:rPr>
        <w:t>)</w:t>
      </w:r>
    </w:p>
    <w:p w:rsidR="00E62DD6" w:rsidRDefault="00E62DD6" w:rsidP="00E62DD6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Buildings and Grounds Committee </w:t>
      </w:r>
      <w:r>
        <w:rPr>
          <w:i/>
          <w:sz w:val="16"/>
          <w:szCs w:val="16"/>
        </w:rPr>
        <w:t xml:space="preserve">(subcommittee of </w:t>
      </w:r>
      <w:proofErr w:type="spellStart"/>
      <w:r>
        <w:rPr>
          <w:i/>
          <w:sz w:val="16"/>
          <w:szCs w:val="16"/>
        </w:rPr>
        <w:t>PaRC</w:t>
      </w:r>
      <w:proofErr w:type="spellEnd"/>
      <w:r w:rsidRPr="00E62DD6">
        <w:rPr>
          <w:i/>
          <w:sz w:val="16"/>
          <w:szCs w:val="16"/>
        </w:rPr>
        <w:t>)</w:t>
      </w:r>
    </w:p>
    <w:p w:rsidR="00E62DD6" w:rsidRDefault="00E62DD6" w:rsidP="00E62DD6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Committee on Online Learning (COOL) </w:t>
      </w:r>
      <w:r w:rsidRPr="00E62DD6">
        <w:rPr>
          <w:i/>
          <w:sz w:val="16"/>
          <w:szCs w:val="16"/>
        </w:rPr>
        <w:t>(subcommittee of Academic Senate)</w:t>
      </w:r>
    </w:p>
    <w:p w:rsidR="00E62DD6" w:rsidRDefault="00E62DD6" w:rsidP="00E62DD6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Faculty &amp; Staff Professional Development Committee </w:t>
      </w:r>
      <w:r>
        <w:rPr>
          <w:i/>
          <w:sz w:val="16"/>
          <w:szCs w:val="16"/>
        </w:rPr>
        <w:t xml:space="preserve">(subcommittee of </w:t>
      </w:r>
      <w:proofErr w:type="spellStart"/>
      <w:r>
        <w:rPr>
          <w:i/>
          <w:sz w:val="16"/>
          <w:szCs w:val="16"/>
        </w:rPr>
        <w:t>PaRC</w:t>
      </w:r>
      <w:proofErr w:type="spellEnd"/>
      <w:r w:rsidRPr="00E62DD6">
        <w:rPr>
          <w:i/>
          <w:sz w:val="16"/>
          <w:szCs w:val="16"/>
        </w:rPr>
        <w:t>)</w:t>
      </w:r>
    </w:p>
    <w:p w:rsidR="00E62DD6" w:rsidRDefault="00E62DD6" w:rsidP="00E62DD6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Program Review Committee (PRC) </w:t>
      </w:r>
      <w:r>
        <w:rPr>
          <w:i/>
          <w:sz w:val="16"/>
          <w:szCs w:val="16"/>
        </w:rPr>
        <w:t xml:space="preserve">(subcommittee of </w:t>
      </w:r>
      <w:proofErr w:type="spellStart"/>
      <w:r>
        <w:rPr>
          <w:i/>
          <w:sz w:val="16"/>
          <w:szCs w:val="16"/>
        </w:rPr>
        <w:t>PaRC</w:t>
      </w:r>
      <w:proofErr w:type="spellEnd"/>
      <w:r w:rsidRPr="00E62DD6">
        <w:rPr>
          <w:i/>
          <w:sz w:val="16"/>
          <w:szCs w:val="16"/>
        </w:rPr>
        <w:t>)</w:t>
      </w:r>
    </w:p>
    <w:p w:rsidR="00E62DD6" w:rsidRDefault="00E62DD6" w:rsidP="00E62DD6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Staff Development Committee </w:t>
      </w:r>
      <w:r w:rsidRPr="00E62DD6">
        <w:rPr>
          <w:i/>
          <w:sz w:val="16"/>
          <w:szCs w:val="16"/>
        </w:rPr>
        <w:t>(subcommittee of A</w:t>
      </w:r>
      <w:r>
        <w:rPr>
          <w:i/>
          <w:sz w:val="16"/>
          <w:szCs w:val="16"/>
        </w:rPr>
        <w:t>CE and Classified</w:t>
      </w:r>
      <w:r w:rsidRPr="00E62DD6">
        <w:rPr>
          <w:i/>
          <w:sz w:val="16"/>
          <w:szCs w:val="16"/>
        </w:rPr>
        <w:t xml:space="preserve"> Senate)</w:t>
      </w:r>
    </w:p>
    <w:p w:rsidR="00E62DD6" w:rsidRDefault="00E62DD6" w:rsidP="00E62DD6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Sustainability Management Planning Committee</w:t>
      </w:r>
      <w:r w:rsidR="00421185">
        <w:rPr>
          <w:sz w:val="20"/>
          <w:szCs w:val="20"/>
        </w:rPr>
        <w:t xml:space="preserve"> </w:t>
      </w:r>
      <w:r w:rsidR="00421185">
        <w:rPr>
          <w:i/>
          <w:sz w:val="16"/>
          <w:szCs w:val="16"/>
        </w:rPr>
        <w:t xml:space="preserve">(subcommittee of </w:t>
      </w:r>
      <w:proofErr w:type="spellStart"/>
      <w:r w:rsidR="00421185">
        <w:rPr>
          <w:i/>
          <w:sz w:val="16"/>
          <w:szCs w:val="16"/>
        </w:rPr>
        <w:t>PaRC</w:t>
      </w:r>
      <w:proofErr w:type="spellEnd"/>
      <w:r w:rsidR="00421185" w:rsidRPr="00E62DD6">
        <w:rPr>
          <w:i/>
          <w:sz w:val="16"/>
          <w:szCs w:val="16"/>
        </w:rPr>
        <w:t>)</w:t>
      </w:r>
    </w:p>
    <w:p w:rsidR="00421185" w:rsidRPr="0058236F" w:rsidRDefault="00421185" w:rsidP="00421185">
      <w:pPr>
        <w:pStyle w:val="ListParagraph"/>
        <w:numPr>
          <w:ilvl w:val="0"/>
          <w:numId w:val="3"/>
        </w:numPr>
        <w:rPr>
          <w:color w:val="FF0000"/>
          <w:sz w:val="20"/>
          <w:szCs w:val="20"/>
        </w:rPr>
      </w:pPr>
      <w:r w:rsidRPr="0058236F">
        <w:rPr>
          <w:color w:val="FF0000"/>
          <w:sz w:val="20"/>
          <w:szCs w:val="20"/>
        </w:rPr>
        <w:t xml:space="preserve">Technology Committee </w:t>
      </w:r>
      <w:r w:rsidRPr="0058236F">
        <w:rPr>
          <w:i/>
          <w:color w:val="FF0000"/>
          <w:sz w:val="16"/>
          <w:szCs w:val="16"/>
        </w:rPr>
        <w:t xml:space="preserve">(subcommittee of </w:t>
      </w:r>
      <w:proofErr w:type="spellStart"/>
      <w:r w:rsidRPr="0058236F">
        <w:rPr>
          <w:i/>
          <w:color w:val="FF0000"/>
          <w:sz w:val="16"/>
          <w:szCs w:val="16"/>
        </w:rPr>
        <w:t>PaRC</w:t>
      </w:r>
      <w:proofErr w:type="spellEnd"/>
      <w:r w:rsidRPr="0058236F">
        <w:rPr>
          <w:i/>
          <w:color w:val="FF0000"/>
          <w:sz w:val="16"/>
          <w:szCs w:val="16"/>
        </w:rPr>
        <w:t>)</w:t>
      </w:r>
    </w:p>
    <w:p w:rsidR="00E62DD6" w:rsidRDefault="00E62DD6" w:rsidP="00E62D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21185" w:rsidTr="00421185">
        <w:tc>
          <w:tcPr>
            <w:tcW w:w="9576" w:type="dxa"/>
            <w:shd w:val="clear" w:color="auto" w:fill="000000"/>
          </w:tcPr>
          <w:p w:rsidR="00421185" w:rsidRPr="00421185" w:rsidRDefault="00421185" w:rsidP="00421185">
            <w:pPr>
              <w:jc w:val="center"/>
              <w:rPr>
                <w:b/>
                <w:color w:val="FFFFFF" w:themeColor="background1"/>
              </w:rPr>
            </w:pPr>
            <w:r w:rsidRPr="00421185">
              <w:rPr>
                <w:b/>
                <w:color w:val="FFFFFF" w:themeColor="background1"/>
              </w:rPr>
              <w:t>AD HOC COMMITTEE</w:t>
            </w:r>
          </w:p>
        </w:tc>
      </w:tr>
    </w:tbl>
    <w:p w:rsidR="00E62DD6" w:rsidRDefault="00E62DD6" w:rsidP="00E62DD6">
      <w:pPr>
        <w:rPr>
          <w:sz w:val="20"/>
          <w:szCs w:val="20"/>
        </w:rPr>
      </w:pPr>
      <w:r w:rsidRPr="00E62DD6">
        <w:rPr>
          <w:sz w:val="20"/>
          <w:szCs w:val="20"/>
        </w:rPr>
        <w:t>A working group or subgroup created by a participatory governance group (committee or council) or operational group to address and make recommendations on a particular subject. The members need not be members of the</w:t>
      </w:r>
      <w:r w:rsidR="00421185">
        <w:rPr>
          <w:sz w:val="20"/>
          <w:szCs w:val="20"/>
        </w:rPr>
        <w:t xml:space="preserve"> committee to which it</w:t>
      </w:r>
      <w:r w:rsidRPr="00E62DD6">
        <w:rPr>
          <w:sz w:val="20"/>
          <w:szCs w:val="20"/>
        </w:rPr>
        <w:t xml:space="preserve"> reports.</w:t>
      </w:r>
      <w:r w:rsidR="00421185">
        <w:rPr>
          <w:sz w:val="20"/>
          <w:szCs w:val="20"/>
        </w:rPr>
        <w:t xml:space="preserve"> Ad hoc committees of standing committees or participatory governance groups report through the parent committee or group. </w:t>
      </w:r>
    </w:p>
    <w:p w:rsidR="00421185" w:rsidRPr="00E62DD6" w:rsidRDefault="00421185" w:rsidP="00E62DD6">
      <w:pPr>
        <w:rPr>
          <w:sz w:val="20"/>
          <w:szCs w:val="20"/>
        </w:rPr>
      </w:pPr>
    </w:p>
    <w:p w:rsidR="00E62DD6" w:rsidRDefault="00421185" w:rsidP="0042118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Campus Center Board </w:t>
      </w:r>
      <w:r w:rsidRPr="00421185">
        <w:rPr>
          <w:i/>
          <w:sz w:val="16"/>
          <w:szCs w:val="16"/>
        </w:rPr>
        <w:t>(ad hoc committee of ASFC)</w:t>
      </w:r>
    </w:p>
    <w:p w:rsidR="00421185" w:rsidRPr="00421185" w:rsidRDefault="00421185" w:rsidP="0042118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Commencement Committee </w:t>
      </w:r>
      <w:r w:rsidRPr="00421185">
        <w:rPr>
          <w:i/>
          <w:sz w:val="16"/>
          <w:szCs w:val="16"/>
        </w:rPr>
        <w:t>(ad hoc committee of the College President)</w:t>
      </w:r>
    </w:p>
    <w:p w:rsidR="00421185" w:rsidRDefault="00421185" w:rsidP="0058236F"/>
    <w:tbl>
      <w:tblPr>
        <w:tblStyle w:val="TableGrid"/>
        <w:tblW w:w="0" w:type="auto"/>
        <w:jc w:val="center"/>
        <w:shd w:val="clear" w:color="auto" w:fill="000000"/>
        <w:tblLook w:val="04A0" w:firstRow="1" w:lastRow="0" w:firstColumn="1" w:lastColumn="0" w:noHBand="0" w:noVBand="1"/>
      </w:tblPr>
      <w:tblGrid>
        <w:gridCol w:w="9576"/>
      </w:tblGrid>
      <w:tr w:rsidR="0058236F" w:rsidRPr="0058236F" w:rsidTr="0058236F">
        <w:trPr>
          <w:jc w:val="center"/>
        </w:trPr>
        <w:tc>
          <w:tcPr>
            <w:tcW w:w="9576" w:type="dxa"/>
            <w:shd w:val="clear" w:color="auto" w:fill="000000"/>
          </w:tcPr>
          <w:p w:rsidR="0058236F" w:rsidRPr="0058236F" w:rsidRDefault="0058236F" w:rsidP="0058236F">
            <w:pPr>
              <w:jc w:val="center"/>
              <w:rPr>
                <w:b/>
                <w:color w:val="FFFFFF" w:themeColor="background1"/>
              </w:rPr>
            </w:pPr>
            <w:r w:rsidRPr="0058236F">
              <w:rPr>
                <w:b/>
                <w:color w:val="FFFFFF" w:themeColor="background1"/>
              </w:rPr>
              <w:t>TASKFORCE</w:t>
            </w:r>
          </w:p>
        </w:tc>
      </w:tr>
    </w:tbl>
    <w:p w:rsidR="00E62DD6" w:rsidRDefault="00E62DD6" w:rsidP="00E62DD6">
      <w:pPr>
        <w:rPr>
          <w:sz w:val="20"/>
          <w:szCs w:val="20"/>
        </w:rPr>
      </w:pPr>
      <w:r w:rsidRPr="00E62DD6">
        <w:rPr>
          <w:sz w:val="20"/>
          <w:szCs w:val="20"/>
        </w:rPr>
        <w:t>A constituency-represented group specifically convened by and reporting to the Planning and Resource Council (</w:t>
      </w:r>
      <w:proofErr w:type="spellStart"/>
      <w:r w:rsidRPr="00E62DD6">
        <w:rPr>
          <w:sz w:val="20"/>
          <w:szCs w:val="20"/>
        </w:rPr>
        <w:t>PaRC</w:t>
      </w:r>
      <w:proofErr w:type="spellEnd"/>
      <w:r w:rsidRPr="00E62DD6">
        <w:rPr>
          <w:sz w:val="20"/>
          <w:szCs w:val="20"/>
        </w:rPr>
        <w:t>) or to the College President to address a special college-wide subject or issue which meets until the subject or issue is resolved.</w:t>
      </w:r>
    </w:p>
    <w:p w:rsidR="00421185" w:rsidRDefault="00421185" w:rsidP="00E62DD6">
      <w:pPr>
        <w:rPr>
          <w:sz w:val="20"/>
          <w:szCs w:val="20"/>
        </w:rPr>
      </w:pPr>
    </w:p>
    <w:p w:rsidR="00421185" w:rsidRDefault="00421185" w:rsidP="00421185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Educational Master Plan (EMP) Taskforce </w:t>
      </w:r>
      <w:r w:rsidRPr="0058236F">
        <w:rPr>
          <w:i/>
          <w:sz w:val="16"/>
          <w:szCs w:val="16"/>
        </w:rPr>
        <w:t xml:space="preserve">(taskforce of </w:t>
      </w:r>
      <w:proofErr w:type="spellStart"/>
      <w:r w:rsidRPr="0058236F">
        <w:rPr>
          <w:i/>
          <w:sz w:val="16"/>
          <w:szCs w:val="16"/>
        </w:rPr>
        <w:t>PaRC</w:t>
      </w:r>
      <w:proofErr w:type="spellEnd"/>
      <w:r w:rsidRPr="0058236F">
        <w:rPr>
          <w:i/>
          <w:sz w:val="16"/>
          <w:szCs w:val="16"/>
        </w:rPr>
        <w:t>)</w:t>
      </w:r>
    </w:p>
    <w:p w:rsidR="00421185" w:rsidRDefault="00421185" w:rsidP="00421185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Integrated Planning and Budget (IP&amp;B) Taskforce </w:t>
      </w:r>
      <w:r w:rsidRPr="0058236F">
        <w:rPr>
          <w:i/>
          <w:sz w:val="16"/>
          <w:szCs w:val="16"/>
        </w:rPr>
        <w:t xml:space="preserve">(taskforce of </w:t>
      </w:r>
      <w:proofErr w:type="spellStart"/>
      <w:r w:rsidRPr="0058236F">
        <w:rPr>
          <w:i/>
          <w:sz w:val="16"/>
          <w:szCs w:val="16"/>
        </w:rPr>
        <w:t>PaRC</w:t>
      </w:r>
      <w:proofErr w:type="spellEnd"/>
      <w:r w:rsidRPr="0058236F">
        <w:rPr>
          <w:i/>
          <w:sz w:val="16"/>
          <w:szCs w:val="16"/>
        </w:rPr>
        <w:t>)</w:t>
      </w:r>
    </w:p>
    <w:p w:rsidR="00421185" w:rsidRPr="0058236F" w:rsidRDefault="00421185" w:rsidP="0058236F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Assessment Taskforce </w:t>
      </w:r>
      <w:r w:rsidRPr="0058236F">
        <w:rPr>
          <w:i/>
          <w:sz w:val="16"/>
          <w:szCs w:val="16"/>
        </w:rPr>
        <w:t xml:space="preserve">(taskforce of </w:t>
      </w:r>
      <w:proofErr w:type="spellStart"/>
      <w:r w:rsidRPr="0058236F">
        <w:rPr>
          <w:i/>
          <w:sz w:val="16"/>
          <w:szCs w:val="16"/>
        </w:rPr>
        <w:t>PaRC</w:t>
      </w:r>
      <w:proofErr w:type="spellEnd"/>
      <w:r w:rsidRPr="0058236F">
        <w:rPr>
          <w:i/>
          <w:sz w:val="16"/>
          <w:szCs w:val="16"/>
        </w:rPr>
        <w:t>)</w:t>
      </w:r>
    </w:p>
    <w:p w:rsidR="0058236F" w:rsidRPr="0058236F" w:rsidRDefault="0058236F" w:rsidP="0058236F">
      <w:pPr>
        <w:pStyle w:val="ListParagraph"/>
        <w:numPr>
          <w:ilvl w:val="0"/>
          <w:numId w:val="5"/>
        </w:numPr>
        <w:rPr>
          <w:color w:val="FF0000"/>
          <w:sz w:val="20"/>
          <w:szCs w:val="20"/>
        </w:rPr>
      </w:pPr>
      <w:r w:rsidRPr="0058236F">
        <w:rPr>
          <w:color w:val="FF0000"/>
          <w:sz w:val="20"/>
          <w:szCs w:val="20"/>
        </w:rPr>
        <w:t>Technology Taskforce</w:t>
      </w:r>
      <w:r w:rsidRPr="0058236F">
        <w:rPr>
          <w:color w:val="FF0000"/>
          <w:sz w:val="16"/>
          <w:szCs w:val="16"/>
        </w:rPr>
        <w:t xml:space="preserve"> </w:t>
      </w:r>
      <w:r w:rsidRPr="0058236F">
        <w:rPr>
          <w:i/>
          <w:color w:val="FF0000"/>
          <w:sz w:val="16"/>
          <w:szCs w:val="16"/>
        </w:rPr>
        <w:t xml:space="preserve">(taskforce of </w:t>
      </w:r>
      <w:proofErr w:type="spellStart"/>
      <w:r w:rsidRPr="0058236F">
        <w:rPr>
          <w:i/>
          <w:color w:val="FF0000"/>
          <w:sz w:val="16"/>
          <w:szCs w:val="16"/>
        </w:rPr>
        <w:t>PaRC</w:t>
      </w:r>
      <w:proofErr w:type="spellEnd"/>
      <w:r w:rsidRPr="0058236F">
        <w:rPr>
          <w:i/>
          <w:color w:val="FF0000"/>
          <w:sz w:val="16"/>
          <w:szCs w:val="16"/>
        </w:rPr>
        <w:t>)</w:t>
      </w:r>
    </w:p>
    <w:p w:rsidR="0058236F" w:rsidRDefault="0058236F" w:rsidP="0058236F">
      <w:pPr>
        <w:rPr>
          <w:sz w:val="20"/>
          <w:szCs w:val="20"/>
        </w:rPr>
      </w:pPr>
    </w:p>
    <w:p w:rsidR="0058236F" w:rsidRDefault="0058236F" w:rsidP="0058236F">
      <w:pPr>
        <w:rPr>
          <w:sz w:val="20"/>
          <w:szCs w:val="20"/>
        </w:rPr>
      </w:pPr>
    </w:p>
    <w:p w:rsidR="0058236F" w:rsidRDefault="0058236F" w:rsidP="0058236F">
      <w:pPr>
        <w:rPr>
          <w:sz w:val="20"/>
          <w:szCs w:val="20"/>
        </w:rPr>
      </w:pPr>
    </w:p>
    <w:p w:rsidR="0058236F" w:rsidRDefault="0058236F" w:rsidP="0058236F">
      <w:pPr>
        <w:rPr>
          <w:sz w:val="20"/>
          <w:szCs w:val="20"/>
        </w:rPr>
      </w:pPr>
    </w:p>
    <w:p w:rsidR="0058236F" w:rsidRDefault="0058236F" w:rsidP="0058236F">
      <w:pPr>
        <w:rPr>
          <w:sz w:val="20"/>
          <w:szCs w:val="20"/>
        </w:rPr>
      </w:pPr>
    </w:p>
    <w:p w:rsidR="0058236F" w:rsidRDefault="0058236F" w:rsidP="0058236F">
      <w:pPr>
        <w:rPr>
          <w:sz w:val="20"/>
          <w:szCs w:val="20"/>
        </w:rPr>
      </w:pPr>
    </w:p>
    <w:p w:rsidR="0058236F" w:rsidRPr="0058236F" w:rsidRDefault="0058236F" w:rsidP="0058236F">
      <w:pPr>
        <w:rPr>
          <w:b/>
          <w:color w:val="FF0000"/>
          <w:sz w:val="20"/>
          <w:szCs w:val="20"/>
        </w:rPr>
      </w:pPr>
      <w:r w:rsidRPr="0058236F">
        <w:rPr>
          <w:b/>
          <w:color w:val="FF0000"/>
          <w:sz w:val="20"/>
          <w:szCs w:val="20"/>
        </w:rPr>
        <w:t xml:space="preserve">NOT MENTIONED / </w:t>
      </w:r>
      <w:r>
        <w:rPr>
          <w:b/>
          <w:color w:val="FF0000"/>
          <w:sz w:val="20"/>
          <w:szCs w:val="20"/>
        </w:rPr>
        <w:t>CATEGORIZED</w:t>
      </w:r>
    </w:p>
    <w:p w:rsidR="0058236F" w:rsidRPr="0058236F" w:rsidRDefault="0058236F" w:rsidP="0058236F">
      <w:pPr>
        <w:pStyle w:val="ListParagraph"/>
        <w:numPr>
          <w:ilvl w:val="0"/>
          <w:numId w:val="6"/>
        </w:numPr>
        <w:rPr>
          <w:color w:val="FF0000"/>
          <w:sz w:val="20"/>
          <w:szCs w:val="20"/>
        </w:rPr>
      </w:pPr>
      <w:r w:rsidRPr="0058236F">
        <w:rPr>
          <w:color w:val="FF0000"/>
          <w:sz w:val="20"/>
          <w:szCs w:val="20"/>
        </w:rPr>
        <w:t>Student Learning Outcomes (SLO) Committee</w:t>
      </w:r>
    </w:p>
    <w:p w:rsidR="0058236F" w:rsidRPr="0058236F" w:rsidRDefault="0058236F" w:rsidP="0058236F">
      <w:pPr>
        <w:pStyle w:val="ListParagraph"/>
        <w:numPr>
          <w:ilvl w:val="0"/>
          <w:numId w:val="6"/>
        </w:numPr>
        <w:rPr>
          <w:color w:val="FF0000"/>
          <w:sz w:val="20"/>
          <w:szCs w:val="20"/>
        </w:rPr>
      </w:pPr>
      <w:r w:rsidRPr="0058236F">
        <w:rPr>
          <w:color w:val="FF0000"/>
          <w:sz w:val="20"/>
          <w:szCs w:val="20"/>
        </w:rPr>
        <w:t>Student Success Collaborative</w:t>
      </w:r>
    </w:p>
    <w:p w:rsidR="0058236F" w:rsidRPr="0058236F" w:rsidRDefault="0058236F" w:rsidP="0058236F">
      <w:pPr>
        <w:rPr>
          <w:sz w:val="20"/>
          <w:szCs w:val="20"/>
        </w:rPr>
      </w:pPr>
    </w:p>
    <w:sectPr w:rsidR="0058236F" w:rsidRPr="0058236F" w:rsidSect="00E62D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5C09"/>
    <w:multiLevelType w:val="hybridMultilevel"/>
    <w:tmpl w:val="20303B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9755943"/>
    <w:multiLevelType w:val="hybridMultilevel"/>
    <w:tmpl w:val="3CFA90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C8545FE"/>
    <w:multiLevelType w:val="hybridMultilevel"/>
    <w:tmpl w:val="CF6C16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F56407F"/>
    <w:multiLevelType w:val="hybridMultilevel"/>
    <w:tmpl w:val="0C2C2E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4DA21DC"/>
    <w:multiLevelType w:val="hybridMultilevel"/>
    <w:tmpl w:val="690695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6810C94"/>
    <w:multiLevelType w:val="hybridMultilevel"/>
    <w:tmpl w:val="9CA6F85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DD6"/>
    <w:rsid w:val="002713BD"/>
    <w:rsid w:val="00421185"/>
    <w:rsid w:val="0058236F"/>
    <w:rsid w:val="00B16E7A"/>
    <w:rsid w:val="00E62DD6"/>
    <w:rsid w:val="00ED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2C91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E7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E7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62DD6"/>
    <w:pPr>
      <w:ind w:left="720"/>
      <w:contextualSpacing/>
    </w:pPr>
  </w:style>
  <w:style w:type="table" w:styleId="TableGrid">
    <w:name w:val="Table Grid"/>
    <w:basedOn w:val="TableNormal"/>
    <w:uiPriority w:val="59"/>
    <w:rsid w:val="004211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E7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E7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62DD6"/>
    <w:pPr>
      <w:ind w:left="720"/>
      <w:contextualSpacing/>
    </w:pPr>
  </w:style>
  <w:style w:type="table" w:styleId="TableGrid">
    <w:name w:val="Table Grid"/>
    <w:basedOn w:val="TableNormal"/>
    <w:uiPriority w:val="59"/>
    <w:rsid w:val="004211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480</Words>
  <Characters>2742</Characters>
  <Application>Microsoft Macintosh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Casie Wheat</dc:creator>
  <cp:keywords/>
  <dc:description/>
  <cp:lastModifiedBy>Casie Wheat</cp:lastModifiedBy>
  <cp:revision>1</cp:revision>
  <dcterms:created xsi:type="dcterms:W3CDTF">2016-02-17T19:48:00Z</dcterms:created>
  <dcterms:modified xsi:type="dcterms:W3CDTF">2016-02-17T20:25:00Z</dcterms:modified>
</cp:coreProperties>
</file>