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0D" w:rsidRPr="000C7BC5" w:rsidRDefault="000C7BC5" w:rsidP="00916026">
      <w:pPr>
        <w:jc w:val="center"/>
        <w:rPr>
          <w:rFonts w:cs="Times New Roman"/>
          <w:b/>
        </w:rPr>
      </w:pPr>
      <w:r w:rsidRPr="000C7BC5">
        <w:rPr>
          <w:rFonts w:cs="Times New Roman"/>
          <w:b/>
        </w:rPr>
        <w:t>Recommendations</w:t>
      </w:r>
      <w:r w:rsidR="00916026" w:rsidRPr="000C7BC5">
        <w:rPr>
          <w:rFonts w:cs="Times New Roman"/>
          <w:b/>
        </w:rPr>
        <w:t xml:space="preserve"> </w:t>
      </w:r>
      <w:r w:rsidR="009735BB" w:rsidRPr="000C7BC5">
        <w:rPr>
          <w:rFonts w:cs="Times New Roman"/>
          <w:b/>
        </w:rPr>
        <w:t xml:space="preserve">for </w:t>
      </w:r>
      <w:r w:rsidR="002645C7" w:rsidRPr="000C7BC5">
        <w:rPr>
          <w:rFonts w:cs="Times New Roman"/>
          <w:b/>
        </w:rPr>
        <w:t>Foothill College Opening Day 2016</w:t>
      </w:r>
    </w:p>
    <w:p w:rsidR="004A7681" w:rsidRPr="00BB391D" w:rsidRDefault="009735BB" w:rsidP="00B97061">
      <w:pPr>
        <w:spacing w:after="0" w:line="240" w:lineRule="auto"/>
        <w:rPr>
          <w:rFonts w:eastAsia="Times New Roman" w:cs="Tahoma"/>
        </w:rPr>
      </w:pPr>
      <w:r w:rsidRPr="00BB391D">
        <w:rPr>
          <w:rFonts w:eastAsia="Times New Roman" w:cs="Tahoma"/>
          <w:b/>
        </w:rPr>
        <w:t xml:space="preserve">Format </w:t>
      </w:r>
      <w:r w:rsidR="00BB391D">
        <w:rPr>
          <w:rFonts w:eastAsia="Times New Roman" w:cs="Tahoma"/>
          <w:b/>
        </w:rPr>
        <w:t xml:space="preserve">1: </w:t>
      </w:r>
      <w:r w:rsidRPr="00BB391D">
        <w:rPr>
          <w:rFonts w:eastAsia="Times New Roman" w:cs="Tahoma"/>
          <w:b/>
        </w:rPr>
        <w:t xml:space="preserve">Proposed by Professional Development Committee </w:t>
      </w:r>
      <w:r w:rsidR="000C7BC5" w:rsidRPr="00BB391D">
        <w:rPr>
          <w:rFonts w:eastAsia="Times New Roman" w:cs="Tahoma"/>
          <w:b/>
        </w:rPr>
        <w:br/>
      </w:r>
    </w:p>
    <w:p w:rsidR="004A7681" w:rsidRPr="000C7BC5" w:rsidRDefault="004A7681" w:rsidP="004A7681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ahoma"/>
        </w:rPr>
      </w:pPr>
      <w:r w:rsidRPr="000C7BC5">
        <w:rPr>
          <w:rFonts w:eastAsia="Times New Roman" w:cs="Tahoma"/>
        </w:rPr>
        <w:t>Keynote Speaker (1 hour)</w:t>
      </w:r>
    </w:p>
    <w:p w:rsidR="004A7681" w:rsidRPr="000C7BC5" w:rsidRDefault="004A7681" w:rsidP="004A7681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ahoma"/>
        </w:rPr>
      </w:pPr>
      <w:r w:rsidRPr="000C7BC5">
        <w:rPr>
          <w:rFonts w:eastAsia="Times New Roman" w:cs="Tahoma"/>
        </w:rPr>
        <w:t>Breakout Workshops</w:t>
      </w:r>
      <w:r w:rsidR="009735BB" w:rsidRPr="000C7BC5">
        <w:rPr>
          <w:rFonts w:eastAsia="Times New Roman" w:cs="Tahoma"/>
        </w:rPr>
        <w:t xml:space="preserve"> on variety of topics</w:t>
      </w:r>
      <w:r w:rsidRPr="000C7BC5">
        <w:rPr>
          <w:rFonts w:eastAsia="Times New Roman" w:cs="Tahoma"/>
        </w:rPr>
        <w:t xml:space="preserve"> (concurrent)</w:t>
      </w:r>
    </w:p>
    <w:p w:rsidR="009735BB" w:rsidRPr="000C7BC5" w:rsidRDefault="009735BB" w:rsidP="009735BB">
      <w:pPr>
        <w:spacing w:after="0" w:line="240" w:lineRule="auto"/>
        <w:rPr>
          <w:rFonts w:cs="Times New Roman"/>
          <w:b/>
          <w:color w:val="000000"/>
        </w:rPr>
      </w:pPr>
    </w:p>
    <w:p w:rsidR="009735BB" w:rsidRPr="00BB391D" w:rsidRDefault="009735BB" w:rsidP="00B97061">
      <w:pPr>
        <w:spacing w:after="0" w:line="240" w:lineRule="auto"/>
        <w:rPr>
          <w:rFonts w:cs="Times New Roman"/>
          <w:b/>
          <w:color w:val="000000"/>
        </w:rPr>
      </w:pPr>
      <w:r w:rsidRPr="00BB391D">
        <w:rPr>
          <w:rFonts w:eastAsia="Times New Roman" w:cs="Tahoma"/>
          <w:b/>
        </w:rPr>
        <w:t xml:space="preserve">Format </w:t>
      </w:r>
      <w:r w:rsidR="00BB391D">
        <w:rPr>
          <w:rFonts w:eastAsia="Times New Roman" w:cs="Tahoma"/>
          <w:b/>
        </w:rPr>
        <w:t xml:space="preserve">2: </w:t>
      </w:r>
      <w:r w:rsidRPr="00BB391D">
        <w:rPr>
          <w:rFonts w:eastAsia="Times New Roman" w:cs="Tahoma"/>
          <w:b/>
        </w:rPr>
        <w:t xml:space="preserve">Proposed by </w:t>
      </w:r>
      <w:r w:rsidRPr="00BB391D">
        <w:rPr>
          <w:rFonts w:cs="Times New Roman"/>
          <w:b/>
          <w:color w:val="000000"/>
        </w:rPr>
        <w:t>SLO Committee</w:t>
      </w:r>
      <w:r w:rsidR="000C7BC5" w:rsidRPr="00BB391D">
        <w:rPr>
          <w:rFonts w:cs="Times New Roman"/>
          <w:b/>
          <w:color w:val="000000"/>
        </w:rPr>
        <w:br/>
      </w:r>
    </w:p>
    <w:p w:rsidR="009735BB" w:rsidRPr="000C7BC5" w:rsidRDefault="009735BB" w:rsidP="009735BB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color w:val="000000"/>
        </w:rPr>
      </w:pPr>
      <w:r w:rsidRPr="000C7BC5">
        <w:rPr>
          <w:rFonts w:cs="Times New Roman"/>
          <w:color w:val="000000"/>
        </w:rPr>
        <w:t>Brad Phillips would be the keynote</w:t>
      </w:r>
      <w:r w:rsidR="00B97061">
        <w:rPr>
          <w:rFonts w:cs="Times New Roman"/>
          <w:color w:val="000000"/>
        </w:rPr>
        <w:t xml:space="preserve"> (1 hour) on topic of cultural competence</w:t>
      </w:r>
    </w:p>
    <w:p w:rsidR="009735BB" w:rsidRDefault="009735BB" w:rsidP="009735BB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color w:val="000000"/>
        </w:rPr>
      </w:pPr>
      <w:r w:rsidRPr="000C7BC5">
        <w:rPr>
          <w:rFonts w:cs="Times New Roman"/>
          <w:color w:val="000000"/>
        </w:rPr>
        <w:t>Campus-wide breakout workshop</w:t>
      </w:r>
      <w:bookmarkStart w:id="0" w:name="_GoBack"/>
      <w:bookmarkEnd w:id="0"/>
      <w:r w:rsidRPr="000C7BC5">
        <w:rPr>
          <w:rFonts w:cs="Times New Roman"/>
          <w:color w:val="000000"/>
        </w:rPr>
        <w:t xml:space="preserve"> sessions that further expand on message by keynote speaker</w:t>
      </w:r>
    </w:p>
    <w:p w:rsidR="00B97061" w:rsidRPr="000C7BC5" w:rsidRDefault="00B97061" w:rsidP="009735BB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See reverse side for details</w:t>
      </w:r>
    </w:p>
    <w:p w:rsidR="009735BB" w:rsidRPr="000C7BC5" w:rsidRDefault="009735BB" w:rsidP="009735BB">
      <w:pPr>
        <w:spacing w:after="0" w:line="240" w:lineRule="auto"/>
        <w:rPr>
          <w:rFonts w:eastAsia="Times New Roman" w:cs="Tahoma"/>
        </w:rPr>
      </w:pPr>
    </w:p>
    <w:p w:rsidR="002645C7" w:rsidRPr="000C7BC5" w:rsidRDefault="00013F5C">
      <w:pPr>
        <w:rPr>
          <w:rFonts w:cs="Times New Roman"/>
        </w:rPr>
      </w:pPr>
      <w:r w:rsidRPr="000C7BC5">
        <w:rPr>
          <w:rFonts w:cs="Times New Roman"/>
          <w:b/>
        </w:rPr>
        <w:t xml:space="preserve">Keynote Speaker </w:t>
      </w:r>
      <w:r w:rsidR="004A7681" w:rsidRPr="000C7BC5">
        <w:rPr>
          <w:rFonts w:cs="Times New Roman"/>
          <w:b/>
        </w:rPr>
        <w:t>Suggestions</w:t>
      </w:r>
    </w:p>
    <w:p w:rsidR="00BB391D" w:rsidRPr="000C7BC5" w:rsidRDefault="00BB391D" w:rsidP="00BB391D">
      <w:pPr>
        <w:pStyle w:val="ListParagraph"/>
        <w:numPr>
          <w:ilvl w:val="0"/>
          <w:numId w:val="10"/>
        </w:numPr>
        <w:rPr>
          <w:rFonts w:cs="Times New Roman"/>
          <w:u w:val="single"/>
        </w:rPr>
      </w:pPr>
      <w:r w:rsidRPr="000C7BC5">
        <w:rPr>
          <w:rFonts w:cs="Times New Roman"/>
          <w:b/>
        </w:rPr>
        <w:t>Brad Phillips</w:t>
      </w:r>
      <w:r>
        <w:rPr>
          <w:rFonts w:cs="Times New Roman"/>
        </w:rPr>
        <w:t>,</w:t>
      </w:r>
      <w:r w:rsidRPr="000C7BC5">
        <w:rPr>
          <w:rFonts w:cs="Times New Roman"/>
        </w:rPr>
        <w:t xml:space="preserve"> Institute for Evidence-Based Change</w:t>
      </w:r>
      <w:r w:rsidRPr="000C7BC5">
        <w:rPr>
          <w:rFonts w:cs="Times New Roman"/>
        </w:rPr>
        <w:br/>
        <w:t xml:space="preserve">Cultural competency, see </w:t>
      </w:r>
      <w:r w:rsidRPr="00B97061">
        <w:rPr>
          <w:rFonts w:cs="Times New Roman"/>
        </w:rPr>
        <w:t>http://www.iebcnow.org/About/StaffDirectory/BradPhillips.aspx</w:t>
      </w:r>
    </w:p>
    <w:p w:rsidR="000C7BC5" w:rsidRPr="000C7BC5" w:rsidRDefault="00013F5C" w:rsidP="000C7BC5">
      <w:pPr>
        <w:pStyle w:val="ListParagraph"/>
        <w:numPr>
          <w:ilvl w:val="0"/>
          <w:numId w:val="10"/>
        </w:numPr>
        <w:rPr>
          <w:rFonts w:cs="Times New Roman"/>
          <w:u w:val="single"/>
        </w:rPr>
      </w:pPr>
      <w:r w:rsidRPr="000C7BC5">
        <w:rPr>
          <w:rFonts w:cs="Times New Roman"/>
          <w:b/>
        </w:rPr>
        <w:t xml:space="preserve">Evelyn </w:t>
      </w:r>
      <w:proofErr w:type="spellStart"/>
      <w:r w:rsidRPr="000C7BC5">
        <w:rPr>
          <w:rFonts w:cs="Times New Roman"/>
          <w:b/>
        </w:rPr>
        <w:t>Waiwaiole</w:t>
      </w:r>
      <w:proofErr w:type="spellEnd"/>
      <w:r w:rsidR="00BB391D">
        <w:rPr>
          <w:rFonts w:cs="Times New Roman"/>
        </w:rPr>
        <w:t xml:space="preserve">, </w:t>
      </w:r>
      <w:r w:rsidRPr="000C7BC5">
        <w:rPr>
          <w:rFonts w:cs="Times New Roman"/>
        </w:rPr>
        <w:t>Direct</w:t>
      </w:r>
      <w:r w:rsidR="000C7BC5" w:rsidRPr="000C7BC5">
        <w:rPr>
          <w:rFonts w:cs="Times New Roman"/>
        </w:rPr>
        <w:t>or</w:t>
      </w:r>
      <w:r w:rsidRPr="000C7BC5">
        <w:rPr>
          <w:rFonts w:cs="Times New Roman"/>
        </w:rPr>
        <w:t xml:space="preserve"> of the Center for Community College Student Engagement</w:t>
      </w:r>
      <w:r w:rsidRPr="000C7BC5">
        <w:rPr>
          <w:rFonts w:cs="Times New Roman"/>
        </w:rPr>
        <w:br/>
      </w:r>
      <w:r w:rsidR="000C7BC5" w:rsidRPr="000C7BC5">
        <w:rPr>
          <w:rFonts w:cs="Times New Roman"/>
        </w:rPr>
        <w:t>W</w:t>
      </w:r>
      <w:r w:rsidRPr="000C7BC5">
        <w:rPr>
          <w:rFonts w:cs="Times New Roman"/>
        </w:rPr>
        <w:t xml:space="preserve">ealth of high quality research on community college </w:t>
      </w:r>
      <w:r w:rsidR="000C7BC5" w:rsidRPr="000C7BC5">
        <w:rPr>
          <w:rFonts w:cs="Times New Roman"/>
        </w:rPr>
        <w:t>programs and equity</w:t>
      </w:r>
      <w:r w:rsidR="000C7BC5">
        <w:rPr>
          <w:rFonts w:cs="Times New Roman"/>
        </w:rPr>
        <w:t>, s</w:t>
      </w:r>
      <w:r w:rsidR="000C7BC5" w:rsidRPr="000C7BC5">
        <w:rPr>
          <w:rFonts w:cs="Times New Roman"/>
        </w:rPr>
        <w:t xml:space="preserve">ee </w:t>
      </w:r>
      <w:r w:rsidRPr="00B97061">
        <w:rPr>
          <w:rFonts w:cs="Times New Roman"/>
        </w:rPr>
        <w:t>http://www.ccsse.org/center/</w:t>
      </w:r>
    </w:p>
    <w:p w:rsidR="000C7BC5" w:rsidRPr="000C7BC5" w:rsidRDefault="00013F5C" w:rsidP="000C7BC5">
      <w:pPr>
        <w:pStyle w:val="ListParagraph"/>
        <w:numPr>
          <w:ilvl w:val="0"/>
          <w:numId w:val="10"/>
        </w:numPr>
        <w:rPr>
          <w:rStyle w:val="Hyperlink"/>
          <w:rFonts w:cs="Times New Roman"/>
          <w:color w:val="auto"/>
        </w:rPr>
      </w:pPr>
      <w:r w:rsidRPr="000C7BC5">
        <w:rPr>
          <w:rFonts w:cs="Times New Roman"/>
          <w:b/>
        </w:rPr>
        <w:t>Frank Harris I</w:t>
      </w:r>
      <w:r w:rsidR="004A7681" w:rsidRPr="000C7BC5">
        <w:rPr>
          <w:rFonts w:cs="Times New Roman"/>
          <w:b/>
        </w:rPr>
        <w:t>II</w:t>
      </w:r>
      <w:r w:rsidR="004A7681" w:rsidRPr="000C7BC5">
        <w:rPr>
          <w:rFonts w:cs="Times New Roman"/>
        </w:rPr>
        <w:t>, San Diego State University</w:t>
      </w:r>
      <w:r w:rsidR="004A7681" w:rsidRPr="000C7BC5">
        <w:rPr>
          <w:rFonts w:cs="Times New Roman"/>
        </w:rPr>
        <w:br/>
        <w:t>R</w:t>
      </w:r>
      <w:r w:rsidRPr="000C7BC5">
        <w:rPr>
          <w:rFonts w:cs="Times New Roman"/>
        </w:rPr>
        <w:t>esearch focuses on factors that contribute to success for men of color at community colleges.</w:t>
      </w:r>
      <w:r w:rsidRPr="000C7BC5">
        <w:rPr>
          <w:rFonts w:cs="Times New Roman"/>
        </w:rPr>
        <w:br/>
        <w:t>http://interwork.sdsu.edu/sp/m2c3/about-</w:t>
      </w:r>
      <w:r w:rsidR="00CD3A54" w:rsidRPr="000C7BC5">
        <w:rPr>
          <w:rFonts w:cs="Times New Roman"/>
        </w:rPr>
        <w:t>us/project-staff/frank-harris/</w:t>
      </w:r>
      <w:r w:rsidR="00CD3A54" w:rsidRPr="000C7BC5">
        <w:rPr>
          <w:rFonts w:cs="Times New Roman"/>
        </w:rPr>
        <w:br/>
      </w:r>
      <w:r w:rsidR="009735BB" w:rsidRPr="000C7BC5">
        <w:rPr>
          <w:rFonts w:cs="Times New Roman"/>
        </w:rPr>
        <w:t>V</w:t>
      </w:r>
      <w:r w:rsidRPr="000C7BC5">
        <w:rPr>
          <w:rFonts w:cs="Times New Roman"/>
        </w:rPr>
        <w:t>ideo of one of his talks</w:t>
      </w:r>
      <w:r w:rsidR="009735BB" w:rsidRPr="000C7BC5">
        <w:rPr>
          <w:rFonts w:cs="Times New Roman"/>
        </w:rPr>
        <w:t xml:space="preserve"> available at </w:t>
      </w:r>
      <w:r w:rsidRPr="00B97061">
        <w:rPr>
          <w:rFonts w:cs="Times New Roman"/>
        </w:rPr>
        <w:t>https://www.youtube.com/watch?v=uLxAguOfmvM</w:t>
      </w:r>
    </w:p>
    <w:p w:rsidR="000C7BC5" w:rsidRPr="000C7BC5" w:rsidRDefault="00013F5C" w:rsidP="000C7BC5">
      <w:pPr>
        <w:pStyle w:val="ListParagraph"/>
        <w:numPr>
          <w:ilvl w:val="0"/>
          <w:numId w:val="10"/>
        </w:numPr>
        <w:rPr>
          <w:rFonts w:cs="Times New Roman"/>
          <w:u w:val="single"/>
        </w:rPr>
      </w:pPr>
      <w:r w:rsidRPr="000C7BC5">
        <w:rPr>
          <w:rFonts w:cs="Times New Roman"/>
          <w:b/>
        </w:rPr>
        <w:t>G</w:t>
      </w:r>
      <w:r w:rsidR="009735BB" w:rsidRPr="000C7BC5">
        <w:rPr>
          <w:rFonts w:cs="Times New Roman"/>
          <w:b/>
        </w:rPr>
        <w:t>reg Walton</w:t>
      </w:r>
      <w:r w:rsidR="009735BB" w:rsidRPr="000C7BC5">
        <w:rPr>
          <w:rFonts w:cs="Times New Roman"/>
        </w:rPr>
        <w:t>, Stanford University</w:t>
      </w:r>
      <w:r w:rsidR="009735BB" w:rsidRPr="000C7BC5">
        <w:rPr>
          <w:rFonts w:cs="Times New Roman"/>
        </w:rPr>
        <w:br/>
        <w:t>P</w:t>
      </w:r>
      <w:r w:rsidRPr="000C7BC5">
        <w:rPr>
          <w:rFonts w:cs="Times New Roman"/>
        </w:rPr>
        <w:t>sychological profile of "Academic Tenacity</w:t>
      </w:r>
      <w:r w:rsidR="009735BB" w:rsidRPr="000C7BC5">
        <w:rPr>
          <w:rFonts w:cs="Times New Roman"/>
        </w:rPr>
        <w:t xml:space="preserve">," </w:t>
      </w:r>
      <w:r w:rsidRPr="000C7BC5">
        <w:rPr>
          <w:rFonts w:cs="Times New Roman"/>
        </w:rPr>
        <w:t>how students can develop academic tenacity, and how that contributes to academic success. </w:t>
      </w:r>
      <w:r w:rsidR="00CD3A54" w:rsidRPr="000C7BC5">
        <w:rPr>
          <w:rFonts w:cs="Times New Roman"/>
        </w:rPr>
        <w:t xml:space="preserve"> </w:t>
      </w:r>
    </w:p>
    <w:p w:rsidR="009735BB" w:rsidRPr="000C7BC5" w:rsidRDefault="009735BB" w:rsidP="002645C7">
      <w:pPr>
        <w:spacing w:after="0" w:line="240" w:lineRule="auto"/>
        <w:rPr>
          <w:rFonts w:cs="Times New Roman"/>
          <w:b/>
          <w:color w:val="000000"/>
        </w:rPr>
      </w:pPr>
      <w:r w:rsidRPr="000C7BC5">
        <w:rPr>
          <w:rFonts w:cs="Times New Roman"/>
          <w:b/>
          <w:color w:val="000000"/>
        </w:rPr>
        <w:t xml:space="preserve">Workshop </w:t>
      </w:r>
      <w:r w:rsidR="000C7BC5" w:rsidRPr="000C7BC5">
        <w:rPr>
          <w:rFonts w:cs="Times New Roman"/>
          <w:b/>
          <w:color w:val="000000"/>
        </w:rPr>
        <w:t xml:space="preserve">Topic </w:t>
      </w:r>
      <w:r w:rsidRPr="000C7BC5">
        <w:rPr>
          <w:rFonts w:cs="Times New Roman"/>
          <w:b/>
          <w:color w:val="000000"/>
        </w:rPr>
        <w:t>Suggestions</w:t>
      </w:r>
      <w:r w:rsidR="002645C7" w:rsidRPr="000C7BC5">
        <w:rPr>
          <w:rFonts w:cs="Times New Roman"/>
          <w:b/>
          <w:color w:val="000000"/>
        </w:rPr>
        <w:t xml:space="preserve"> </w:t>
      </w:r>
    </w:p>
    <w:p w:rsidR="009735BB" w:rsidRPr="000C7BC5" w:rsidRDefault="009735BB" w:rsidP="002645C7">
      <w:pPr>
        <w:spacing w:after="0" w:line="240" w:lineRule="auto"/>
        <w:rPr>
          <w:rFonts w:cs="Times New Roman"/>
          <w:b/>
          <w:color w:val="000000"/>
        </w:rPr>
      </w:pPr>
    </w:p>
    <w:p w:rsidR="002645C7" w:rsidRPr="00B97061" w:rsidRDefault="002645C7" w:rsidP="002645C7">
      <w:pPr>
        <w:pStyle w:val="ListParagraph"/>
        <w:numPr>
          <w:ilvl w:val="0"/>
          <w:numId w:val="4"/>
        </w:numPr>
        <w:rPr>
          <w:rFonts w:cs="Times New Roman"/>
          <w:color w:val="000000"/>
          <w:sz w:val="24"/>
        </w:rPr>
      </w:pPr>
      <w:r w:rsidRPr="00B97061">
        <w:rPr>
          <w:rFonts w:cs="Times New Roman"/>
          <w:color w:val="000000"/>
          <w:sz w:val="24"/>
        </w:rPr>
        <w:t>Dual enrollment, articulation, and how these strategies impact student enrollment.</w:t>
      </w:r>
    </w:p>
    <w:p w:rsidR="002645C7" w:rsidRPr="00B97061" w:rsidRDefault="002645C7" w:rsidP="002645C7">
      <w:pPr>
        <w:pStyle w:val="ListParagraph"/>
        <w:numPr>
          <w:ilvl w:val="0"/>
          <w:numId w:val="4"/>
        </w:numPr>
        <w:rPr>
          <w:rFonts w:cs="Times New Roman"/>
          <w:color w:val="000000"/>
          <w:sz w:val="24"/>
        </w:rPr>
      </w:pPr>
      <w:r w:rsidRPr="00B97061">
        <w:rPr>
          <w:rFonts w:cs="Times New Roman"/>
          <w:color w:val="000000"/>
          <w:sz w:val="24"/>
        </w:rPr>
        <w:t>Working with marketing 101</w:t>
      </w:r>
      <w:r w:rsidR="009735BB" w:rsidRPr="00B97061">
        <w:rPr>
          <w:rFonts w:cs="Times New Roman"/>
          <w:color w:val="000000"/>
          <w:sz w:val="24"/>
        </w:rPr>
        <w:t xml:space="preserve"> - best practices, workflows, </w:t>
      </w:r>
      <w:r w:rsidR="00B97061">
        <w:rPr>
          <w:rFonts w:cs="Times New Roman"/>
          <w:color w:val="000000"/>
          <w:sz w:val="24"/>
        </w:rPr>
        <w:t>&amp;</w:t>
      </w:r>
      <w:r w:rsidR="009735BB" w:rsidRPr="00B97061">
        <w:rPr>
          <w:rFonts w:cs="Times New Roman"/>
          <w:color w:val="000000"/>
          <w:sz w:val="24"/>
        </w:rPr>
        <w:t xml:space="preserve"> process</w:t>
      </w:r>
      <w:r w:rsidR="00B97061">
        <w:rPr>
          <w:rFonts w:cs="Times New Roman"/>
          <w:color w:val="000000"/>
          <w:sz w:val="24"/>
        </w:rPr>
        <w:t>; r</w:t>
      </w:r>
      <w:r w:rsidR="009735BB" w:rsidRPr="00B97061">
        <w:rPr>
          <w:rFonts w:cs="Times New Roman"/>
          <w:color w:val="000000"/>
          <w:sz w:val="24"/>
        </w:rPr>
        <w:t xml:space="preserve">ole </w:t>
      </w:r>
      <w:r w:rsidR="00B97061">
        <w:rPr>
          <w:rFonts w:cs="Times New Roman"/>
          <w:color w:val="000000"/>
          <w:sz w:val="24"/>
        </w:rPr>
        <w:t>of Design Center</w:t>
      </w:r>
    </w:p>
    <w:p w:rsidR="002645C7" w:rsidRPr="00B97061" w:rsidRDefault="002645C7" w:rsidP="002645C7">
      <w:pPr>
        <w:pStyle w:val="ListParagraph"/>
        <w:numPr>
          <w:ilvl w:val="0"/>
          <w:numId w:val="4"/>
        </w:numPr>
        <w:rPr>
          <w:rFonts w:cs="Times New Roman"/>
          <w:color w:val="000000"/>
          <w:sz w:val="24"/>
        </w:rPr>
      </w:pPr>
      <w:r w:rsidRPr="00B97061">
        <w:rPr>
          <w:rFonts w:cs="Times New Roman"/>
          <w:color w:val="000000"/>
          <w:sz w:val="24"/>
        </w:rPr>
        <w:t>Gender identity presentation (panel of students)</w:t>
      </w:r>
    </w:p>
    <w:p w:rsidR="003421AA" w:rsidRPr="00B97061" w:rsidRDefault="003421AA" w:rsidP="00013F5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 w:val="24"/>
        </w:rPr>
      </w:pPr>
      <w:r w:rsidRPr="00B97061">
        <w:rPr>
          <w:rFonts w:eastAsia="Times New Roman" w:cs="Times New Roman"/>
          <w:color w:val="000000"/>
          <w:sz w:val="24"/>
        </w:rPr>
        <w:t>Transgender sensitivity training</w:t>
      </w:r>
    </w:p>
    <w:p w:rsidR="009735BB" w:rsidRPr="00B97061" w:rsidRDefault="009735BB" w:rsidP="006224D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 w:val="24"/>
        </w:rPr>
      </w:pPr>
      <w:r w:rsidRPr="00B97061">
        <w:rPr>
          <w:rFonts w:eastAsia="Times New Roman" w:cs="Times New Roman"/>
          <w:color w:val="000000"/>
          <w:sz w:val="24"/>
        </w:rPr>
        <w:t xml:space="preserve">Online </w:t>
      </w:r>
      <w:r w:rsidR="003421AA" w:rsidRPr="00B97061">
        <w:rPr>
          <w:rFonts w:eastAsia="Times New Roman" w:cs="Times New Roman"/>
          <w:color w:val="000000"/>
          <w:sz w:val="24"/>
        </w:rPr>
        <w:t>pedago</w:t>
      </w:r>
      <w:r w:rsidRPr="00B97061">
        <w:rPr>
          <w:rFonts w:eastAsia="Times New Roman" w:cs="Times New Roman"/>
          <w:color w:val="000000"/>
          <w:sz w:val="24"/>
        </w:rPr>
        <w:t xml:space="preserve">gy using Canvas – faculty panel </w:t>
      </w:r>
    </w:p>
    <w:p w:rsidR="003421AA" w:rsidRPr="00B97061" w:rsidRDefault="009735BB" w:rsidP="006224D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 w:val="24"/>
        </w:rPr>
      </w:pPr>
      <w:r w:rsidRPr="00B97061">
        <w:rPr>
          <w:rFonts w:eastAsia="Times New Roman" w:cs="Times New Roman"/>
          <w:color w:val="000000"/>
          <w:sz w:val="24"/>
        </w:rPr>
        <w:t>H</w:t>
      </w:r>
      <w:r w:rsidR="003421AA" w:rsidRPr="00B97061">
        <w:rPr>
          <w:rFonts w:eastAsia="Times New Roman" w:cs="Times New Roman"/>
          <w:color w:val="000000"/>
          <w:sz w:val="24"/>
        </w:rPr>
        <w:t>ow-to on campus governance and decision making structures</w:t>
      </w:r>
    </w:p>
    <w:p w:rsidR="003421AA" w:rsidRPr="00B97061" w:rsidRDefault="003421AA" w:rsidP="00013F5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 w:val="24"/>
        </w:rPr>
      </w:pPr>
      <w:r w:rsidRPr="00B97061">
        <w:rPr>
          <w:rFonts w:eastAsia="Times New Roman" w:cs="Times New Roman"/>
          <w:color w:val="000000"/>
          <w:sz w:val="24"/>
        </w:rPr>
        <w:t xml:space="preserve">SLOs and cultural competency </w:t>
      </w:r>
    </w:p>
    <w:p w:rsidR="00013F5C" w:rsidRPr="00B97061" w:rsidRDefault="003421AA" w:rsidP="00013F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</w:rPr>
      </w:pPr>
      <w:r w:rsidRPr="00B97061">
        <w:rPr>
          <w:rFonts w:eastAsia="Times New Roman" w:cs="Times New Roman"/>
          <w:color w:val="000000"/>
          <w:sz w:val="24"/>
        </w:rPr>
        <w:t>Onl</w:t>
      </w:r>
      <w:r w:rsidR="00013F5C" w:rsidRPr="00B97061">
        <w:rPr>
          <w:rFonts w:eastAsia="Times New Roman" w:cs="Times New Roman"/>
          <w:color w:val="000000"/>
          <w:sz w:val="24"/>
        </w:rPr>
        <w:t>ine course quality/accessibility</w:t>
      </w:r>
    </w:p>
    <w:p w:rsidR="003421AA" w:rsidRPr="00B97061" w:rsidRDefault="00013F5C" w:rsidP="00013F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</w:rPr>
      </w:pPr>
      <w:r w:rsidRPr="00B97061">
        <w:rPr>
          <w:rFonts w:eastAsia="Times New Roman" w:cs="Times New Roman"/>
          <w:color w:val="000000"/>
          <w:sz w:val="24"/>
        </w:rPr>
        <w:t>C</w:t>
      </w:r>
      <w:r w:rsidR="003421AA" w:rsidRPr="00B97061">
        <w:rPr>
          <w:rFonts w:eastAsia="Times New Roman" w:cs="Times New Roman"/>
          <w:sz w:val="24"/>
        </w:rPr>
        <w:t>ultural competency in the hiring process</w:t>
      </w:r>
    </w:p>
    <w:p w:rsidR="003421AA" w:rsidRPr="00B97061" w:rsidRDefault="00013F5C" w:rsidP="00013F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</w:rPr>
      </w:pPr>
      <w:r w:rsidRPr="00B97061">
        <w:rPr>
          <w:rFonts w:eastAsia="Times New Roman" w:cs="Times New Roman"/>
          <w:sz w:val="24"/>
        </w:rPr>
        <w:t>C</w:t>
      </w:r>
      <w:r w:rsidR="003421AA" w:rsidRPr="00B97061">
        <w:rPr>
          <w:rFonts w:eastAsia="Times New Roman" w:cs="Times New Roman"/>
          <w:sz w:val="24"/>
        </w:rPr>
        <w:t>onflict resolution in the workplace</w:t>
      </w:r>
    </w:p>
    <w:p w:rsidR="009735BB" w:rsidRPr="00B97061" w:rsidRDefault="00013F5C" w:rsidP="00E2416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B97061">
        <w:rPr>
          <w:rFonts w:eastAsia="Times New Roman" w:cs="Times New Roman"/>
          <w:sz w:val="24"/>
        </w:rPr>
        <w:t>S</w:t>
      </w:r>
      <w:r w:rsidR="003421AA" w:rsidRPr="00B97061">
        <w:rPr>
          <w:rFonts w:eastAsia="Times New Roman" w:cs="Times New Roman"/>
          <w:sz w:val="24"/>
        </w:rPr>
        <w:t>tudent equity panel with students, veterans , DSPS students, foster youth, Latino/A American/transgender (diverse panel)</w:t>
      </w:r>
    </w:p>
    <w:p w:rsidR="009735BB" w:rsidRPr="00B97061" w:rsidRDefault="00013F5C" w:rsidP="001654A4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B97061">
        <w:rPr>
          <w:sz w:val="24"/>
        </w:rPr>
        <w:t>S</w:t>
      </w:r>
      <w:r w:rsidR="003421AA" w:rsidRPr="00B97061">
        <w:rPr>
          <w:sz w:val="24"/>
        </w:rPr>
        <w:t>tudent retention strategies for all employees, not just classroom. </w:t>
      </w:r>
    </w:p>
    <w:p w:rsidR="009735BB" w:rsidRPr="00B97061" w:rsidRDefault="00013F5C" w:rsidP="009735BB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B97061">
        <w:rPr>
          <w:sz w:val="24"/>
        </w:rPr>
        <w:t>How to improve online student engagement between faculty and students</w:t>
      </w:r>
    </w:p>
    <w:p w:rsidR="000C7BC5" w:rsidRPr="00B97061" w:rsidRDefault="00013F5C" w:rsidP="00D967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</w:rPr>
      </w:pPr>
      <w:r w:rsidRPr="00B97061">
        <w:rPr>
          <w:sz w:val="24"/>
        </w:rPr>
        <w:t>D</w:t>
      </w:r>
      <w:r w:rsidR="00D97B1D" w:rsidRPr="00B97061">
        <w:rPr>
          <w:sz w:val="24"/>
        </w:rPr>
        <w:t>ual enrollment, articulation, and how these stra</w:t>
      </w:r>
      <w:r w:rsidR="000C7BC5" w:rsidRPr="00B97061">
        <w:rPr>
          <w:sz w:val="24"/>
        </w:rPr>
        <w:t>tegies impact student enrollment</w:t>
      </w:r>
    </w:p>
    <w:p w:rsidR="009735BB" w:rsidRPr="00B97061" w:rsidRDefault="009735BB" w:rsidP="00D967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</w:rPr>
      </w:pPr>
      <w:r w:rsidRPr="00B97061">
        <w:rPr>
          <w:rFonts w:eastAsia="Times New Roman" w:cs="Times New Roman"/>
          <w:color w:val="000000"/>
          <w:sz w:val="24"/>
        </w:rPr>
        <w:t>G</w:t>
      </w:r>
      <w:r w:rsidR="00D97B1D" w:rsidRPr="00B97061">
        <w:rPr>
          <w:rFonts w:eastAsia="Times New Roman" w:cs="Times New Roman"/>
          <w:color w:val="000000"/>
          <w:sz w:val="24"/>
        </w:rPr>
        <w:t xml:space="preserve">ender identity presentation offered at the recent classified professional development day. </w:t>
      </w:r>
    </w:p>
    <w:p w:rsidR="000C7BC5" w:rsidRPr="00B97061" w:rsidRDefault="009735BB" w:rsidP="008C751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000000"/>
        </w:rPr>
      </w:pPr>
      <w:r w:rsidRPr="00B97061">
        <w:rPr>
          <w:rFonts w:eastAsia="Times New Roman" w:cs="Times New Roman"/>
          <w:color w:val="000000"/>
        </w:rPr>
        <w:t>P</w:t>
      </w:r>
      <w:r w:rsidR="00D97B1D" w:rsidRPr="00B97061">
        <w:rPr>
          <w:rFonts w:eastAsia="Times New Roman" w:cs="Times New Roman"/>
          <w:color w:val="000000"/>
        </w:rPr>
        <w:t>resented by De Anza students and </w:t>
      </w:r>
      <w:proofErr w:type="spellStart"/>
      <w:r w:rsidR="00D97B1D" w:rsidRPr="00B97061">
        <w:rPr>
          <w:rFonts w:eastAsia="Times New Roman" w:cs="Times New Roman"/>
          <w:color w:val="000000"/>
        </w:rPr>
        <w:t>Apryl</w:t>
      </w:r>
      <w:proofErr w:type="spellEnd"/>
      <w:r w:rsidR="00D97B1D" w:rsidRPr="00B97061">
        <w:rPr>
          <w:rFonts w:eastAsia="Times New Roman" w:cs="Times New Roman"/>
          <w:color w:val="000000"/>
        </w:rPr>
        <w:t xml:space="preserve"> </w:t>
      </w:r>
      <w:proofErr w:type="spellStart"/>
      <w:r w:rsidR="00D97B1D" w:rsidRPr="00B97061">
        <w:rPr>
          <w:rFonts w:eastAsia="Times New Roman" w:cs="Times New Roman"/>
          <w:color w:val="000000"/>
        </w:rPr>
        <w:t>Berney</w:t>
      </w:r>
      <w:proofErr w:type="spellEnd"/>
      <w:r w:rsidR="00D97B1D" w:rsidRPr="00B97061">
        <w:rPr>
          <w:rFonts w:eastAsia="Times New Roman" w:cs="Times New Roman"/>
          <w:color w:val="000000"/>
        </w:rPr>
        <w:t xml:space="preserve">, director of De Anza College Jean Miller Resource </w:t>
      </w:r>
      <w:r w:rsidR="000C7BC5" w:rsidRPr="00B97061">
        <w:rPr>
          <w:rFonts w:eastAsia="Times New Roman" w:cs="Times New Roman"/>
          <w:color w:val="000000"/>
        </w:rPr>
        <w:t>Room Women, Gender &amp; Sexuality</w:t>
      </w:r>
    </w:p>
    <w:p w:rsidR="000C7BC5" w:rsidRPr="00B97061" w:rsidRDefault="000C7BC5" w:rsidP="000C7B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</w:rPr>
      </w:pPr>
      <w:r w:rsidRPr="00B97061">
        <w:rPr>
          <w:sz w:val="24"/>
        </w:rPr>
        <w:t>New Website and Editing Content</w:t>
      </w:r>
    </w:p>
    <w:p w:rsidR="00D97B1D" w:rsidRPr="00B97061" w:rsidRDefault="000C7BC5" w:rsidP="000C7B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</w:rPr>
      </w:pPr>
      <w:r w:rsidRPr="00B97061">
        <w:rPr>
          <w:sz w:val="24"/>
        </w:rPr>
        <w:t>Accreditation Self-Study</w:t>
      </w:r>
      <w:r w:rsidR="00D97B1D" w:rsidRPr="00B97061">
        <w:rPr>
          <w:rFonts w:eastAsia="Times New Roman" w:cs="Times New Roman"/>
          <w:color w:val="000000"/>
          <w:sz w:val="24"/>
        </w:rPr>
        <w:t xml:space="preserve"> </w:t>
      </w:r>
    </w:p>
    <w:sectPr w:rsidR="00D97B1D" w:rsidRPr="00B97061" w:rsidSect="000C7B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655"/>
    <w:multiLevelType w:val="multilevel"/>
    <w:tmpl w:val="39A8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24BF"/>
    <w:multiLevelType w:val="multilevel"/>
    <w:tmpl w:val="286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93ADE"/>
    <w:multiLevelType w:val="multilevel"/>
    <w:tmpl w:val="34A0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13B9B"/>
    <w:multiLevelType w:val="hybridMultilevel"/>
    <w:tmpl w:val="CCF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0105"/>
    <w:multiLevelType w:val="hybridMultilevel"/>
    <w:tmpl w:val="74C8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C527F"/>
    <w:multiLevelType w:val="multilevel"/>
    <w:tmpl w:val="286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E60EC"/>
    <w:multiLevelType w:val="hybridMultilevel"/>
    <w:tmpl w:val="2A7C5BD8"/>
    <w:lvl w:ilvl="0" w:tplc="D3225E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D3AD8"/>
    <w:multiLevelType w:val="hybridMultilevel"/>
    <w:tmpl w:val="658E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5346C"/>
    <w:multiLevelType w:val="multilevel"/>
    <w:tmpl w:val="286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23FFA"/>
    <w:multiLevelType w:val="hybridMultilevel"/>
    <w:tmpl w:val="DA9E77B6"/>
    <w:lvl w:ilvl="0" w:tplc="FDFE893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C5A"/>
    <w:multiLevelType w:val="hybridMultilevel"/>
    <w:tmpl w:val="7844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A7"/>
    <w:rsid w:val="00013F5C"/>
    <w:rsid w:val="000C7BC5"/>
    <w:rsid w:val="002645C7"/>
    <w:rsid w:val="002D0001"/>
    <w:rsid w:val="003421AA"/>
    <w:rsid w:val="004A7681"/>
    <w:rsid w:val="00904A22"/>
    <w:rsid w:val="00916026"/>
    <w:rsid w:val="009735BB"/>
    <w:rsid w:val="00987727"/>
    <w:rsid w:val="00B97061"/>
    <w:rsid w:val="00BB391D"/>
    <w:rsid w:val="00CD3A54"/>
    <w:rsid w:val="00D97B1D"/>
    <w:rsid w:val="00DB10B4"/>
    <w:rsid w:val="00EB44A7"/>
    <w:rsid w:val="00E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0E3F2D-FE83-46E6-ACDC-DFC9C9E5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7B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FHDA</cp:lastModifiedBy>
  <cp:revision>2</cp:revision>
  <dcterms:created xsi:type="dcterms:W3CDTF">2016-06-15T16:44:00Z</dcterms:created>
  <dcterms:modified xsi:type="dcterms:W3CDTF">2016-06-15T16:44:00Z</dcterms:modified>
</cp:coreProperties>
</file>