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3D3D4" w14:textId="5093AB91" w:rsidR="007D3547" w:rsidRPr="0040025F" w:rsidRDefault="00E0267E" w:rsidP="00361FD3">
      <w:pPr>
        <w:pStyle w:val="Heading1"/>
        <w:rPr>
          <w:sz w:val="36"/>
          <w:szCs w:val="36"/>
        </w:rPr>
      </w:pPr>
      <w:r w:rsidRPr="0040025F">
        <w:rPr>
          <w:b w:val="0"/>
          <w:noProof/>
          <w:sz w:val="36"/>
          <w:szCs w:val="36"/>
          <w:lang w:eastAsia="en-US"/>
        </w:rPr>
        <mc:AlternateContent>
          <mc:Choice Requires="wps">
            <w:drawing>
              <wp:anchor distT="0" distB="0" distL="114300" distR="114300" simplePos="0" relativeHeight="251661312" behindDoc="0" locked="0" layoutInCell="1" allowOverlap="1" wp14:anchorId="46D97801" wp14:editId="331E65AE">
                <wp:simplePos x="0" y="0"/>
                <wp:positionH relativeFrom="column">
                  <wp:posOffset>-40640</wp:posOffset>
                </wp:positionH>
                <wp:positionV relativeFrom="paragraph">
                  <wp:posOffset>162560</wp:posOffset>
                </wp:positionV>
                <wp:extent cx="6116320" cy="0"/>
                <wp:effectExtent l="50800" t="50800" r="55880" b="101600"/>
                <wp:wrapNone/>
                <wp:docPr id="2" name="Straight Connector 2"/>
                <wp:cNvGraphicFramePr/>
                <a:graphic xmlns:a="http://schemas.openxmlformats.org/drawingml/2006/main">
                  <a:graphicData uri="http://schemas.microsoft.com/office/word/2010/wordprocessingShape">
                    <wps:wsp>
                      <wps:cNvCnPr/>
                      <wps:spPr>
                        <a:xfrm>
                          <a:off x="0" y="0"/>
                          <a:ext cx="6116320" cy="0"/>
                        </a:xfrm>
                        <a:prstGeom prst="line">
                          <a:avLst/>
                        </a:prstGeom>
                        <a:ln w="57150" cmpd="sng"/>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12.8pt" to="478.4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" strokecolor="#4f81bd [3204]" strokeweight="4.5pt">
                <v:shadow on="t" opacity="24903f" mv:blur="40000f" origin=",.5" offset="0,20000emu"/>
              </v:line>
            </w:pict>
          </mc:Fallback>
        </mc:AlternateContent>
      </w:r>
      <w:r w:rsidR="007D3547" w:rsidRPr="0040025F">
        <w:rPr>
          <w:sz w:val="36"/>
          <w:szCs w:val="36"/>
        </w:rPr>
        <w:t>Foothill College Academic Senate Administrative Unit Outcomes</w:t>
      </w:r>
      <w:r w:rsidR="00361FD3" w:rsidRPr="0040025F">
        <w:rPr>
          <w:sz w:val="36"/>
          <w:szCs w:val="36"/>
        </w:rPr>
        <w:t xml:space="preserve">: </w:t>
      </w:r>
      <w:r w:rsidR="009C3F36" w:rsidRPr="0040025F">
        <w:rPr>
          <w:sz w:val="36"/>
          <w:szCs w:val="36"/>
        </w:rPr>
        <w:t xml:space="preserve">Proposed </w:t>
      </w:r>
      <w:r w:rsidR="00B53047" w:rsidRPr="0040025F">
        <w:rPr>
          <w:sz w:val="36"/>
          <w:szCs w:val="36"/>
        </w:rPr>
        <w:t>U</w:t>
      </w:r>
      <w:r w:rsidR="001479FA" w:rsidRPr="0040025F">
        <w:rPr>
          <w:sz w:val="36"/>
          <w:szCs w:val="36"/>
        </w:rPr>
        <w:t>pdate</w:t>
      </w:r>
      <w:r w:rsidR="00972938" w:rsidRPr="0040025F">
        <w:rPr>
          <w:sz w:val="36"/>
          <w:szCs w:val="36"/>
        </w:rPr>
        <w:t>s</w:t>
      </w:r>
    </w:p>
    <w:p w14:paraId="64F52D87" w14:textId="77777777" w:rsidR="0032334E" w:rsidRPr="00FD2263" w:rsidRDefault="0032334E" w:rsidP="007D3547"/>
    <w:p w14:paraId="2CE08C9B" w14:textId="56446D3F" w:rsidR="0032334E" w:rsidRDefault="0032334E" w:rsidP="007E4AE4">
      <w:pPr>
        <w:spacing w:after="120"/>
        <w:ind w:left="806" w:hanging="810"/>
      </w:pPr>
      <w:r w:rsidRPr="00216F65">
        <w:rPr>
          <w:b/>
        </w:rPr>
        <w:t>AUO 1</w:t>
      </w:r>
      <w:r w:rsidRPr="00FD2263">
        <w:t xml:space="preserve">: </w:t>
      </w:r>
      <w:r w:rsidR="005A0161">
        <w:t xml:space="preserve"> </w:t>
      </w:r>
      <w:r w:rsidR="00216F65">
        <w:t>“</w:t>
      </w:r>
      <w:r w:rsidR="00216F65" w:rsidRPr="00F260B5">
        <w:rPr>
          <w:u w:val="single"/>
        </w:rPr>
        <w:t>Recommendations regarding academic and professional matters</w:t>
      </w:r>
      <w:r w:rsidR="00216F65">
        <w:t xml:space="preserve">.” </w:t>
      </w:r>
      <w:r w:rsidR="00B859ED">
        <w:t xml:space="preserve">The academic </w:t>
      </w:r>
      <w:bookmarkStart w:id="0" w:name="_GoBack"/>
      <w:bookmarkEnd w:id="0"/>
      <w:r w:rsidR="00B859ED">
        <w:t xml:space="preserve">senate will make recommendations </w:t>
      </w:r>
      <w:r w:rsidR="004349D6">
        <w:t xml:space="preserve">about </w:t>
      </w:r>
      <w:r w:rsidR="00446AB0">
        <w:t xml:space="preserve">the formation and review of </w:t>
      </w:r>
      <w:r w:rsidR="004349D6">
        <w:t xml:space="preserve">college and district policies </w:t>
      </w:r>
      <w:r w:rsidR="00B859ED">
        <w:t xml:space="preserve">regarding </w:t>
      </w:r>
      <w:r w:rsidR="004349D6">
        <w:t xml:space="preserve">academic and professional matters </w:t>
      </w:r>
      <w:r w:rsidR="00B859ED">
        <w:t>to the appropriate college and district administrators</w:t>
      </w:r>
      <w:r w:rsidR="00876852">
        <w:t xml:space="preserve"> and management teams</w:t>
      </w:r>
      <w:r w:rsidR="005022BC">
        <w:t>.</w:t>
      </w:r>
    </w:p>
    <w:p w14:paraId="46C2D147" w14:textId="11B39604" w:rsidR="0085404F" w:rsidRPr="00FD2263" w:rsidRDefault="00E241C8" w:rsidP="007E4AE4">
      <w:pPr>
        <w:spacing w:after="120"/>
        <w:ind w:left="806"/>
      </w:pPr>
      <w:r w:rsidRPr="00F34735">
        <w:rPr>
          <w:u w:val="single"/>
        </w:rPr>
        <w:t>Means of assessment</w:t>
      </w:r>
      <w:r>
        <w:t>:</w:t>
      </w:r>
      <w:r w:rsidR="00E243EE">
        <w:t xml:space="preserve"> </w:t>
      </w:r>
      <w:r w:rsidR="00884D8E">
        <w:t xml:space="preserve">1) </w:t>
      </w:r>
      <w:r w:rsidR="007E2735">
        <w:t xml:space="preserve">formal review and discussion at the annual spring </w:t>
      </w:r>
      <w:r w:rsidR="00D53E0A">
        <w:t xml:space="preserve">academic senate </w:t>
      </w:r>
      <w:r w:rsidR="007E2735">
        <w:t>retreat</w:t>
      </w:r>
      <w:r w:rsidR="00A553F0">
        <w:t xml:space="preserve">; </w:t>
      </w:r>
      <w:r w:rsidR="00AE6279">
        <w:t>2) formal survey</w:t>
      </w:r>
      <w:r w:rsidR="005A63D5">
        <w:t xml:space="preserve"> </w:t>
      </w:r>
      <w:r w:rsidR="00A01829">
        <w:t>(</w:t>
      </w:r>
      <w:r w:rsidR="009657B5">
        <w:t>*</w:t>
      </w:r>
      <w:r w:rsidR="00A01829">
        <w:t>incorporate questions into governance survey?)</w:t>
      </w:r>
    </w:p>
    <w:p w14:paraId="42E2378B" w14:textId="77777777" w:rsidR="007D3547" w:rsidRPr="00FD2263" w:rsidRDefault="007D3547" w:rsidP="007D3547"/>
    <w:p w14:paraId="7B79ACEE" w14:textId="5AEB7EB0" w:rsidR="00674817" w:rsidRDefault="008A07A7" w:rsidP="00503884">
      <w:pPr>
        <w:spacing w:after="120"/>
        <w:ind w:left="806" w:hanging="810"/>
      </w:pPr>
      <w:r w:rsidRPr="00496A2A">
        <w:rPr>
          <w:b/>
        </w:rPr>
        <w:t>AUO 2</w:t>
      </w:r>
      <w:r>
        <w:t>: “</w:t>
      </w:r>
      <w:r w:rsidR="006214D5" w:rsidRPr="00066ED7">
        <w:rPr>
          <w:u w:val="single"/>
        </w:rPr>
        <w:t>Communication</w:t>
      </w:r>
      <w:r w:rsidR="006214D5">
        <w:t>.” The academic senate will facilitate timely communication between the senate and the administration, district board of trustees, academic divisions, and the De Anza faculty senate.</w:t>
      </w:r>
    </w:p>
    <w:p w14:paraId="63F645F8" w14:textId="130B8DF2" w:rsidR="007C371D" w:rsidRPr="00FD2263" w:rsidRDefault="007C371D" w:rsidP="00503884">
      <w:pPr>
        <w:spacing w:after="120"/>
        <w:ind w:left="806"/>
      </w:pPr>
      <w:r w:rsidRPr="00F34735">
        <w:rPr>
          <w:u w:val="single"/>
        </w:rPr>
        <w:t>Means of assessment</w:t>
      </w:r>
      <w:r>
        <w:t xml:space="preserve">: </w:t>
      </w:r>
      <w:r w:rsidR="000F6A78">
        <w:t>formal survey (</w:t>
      </w:r>
      <w:r w:rsidR="00B41173">
        <w:t>*</w:t>
      </w:r>
      <w:r w:rsidR="00D80F53">
        <w:t xml:space="preserve">draw on </w:t>
      </w:r>
      <w:r w:rsidR="004D2E49">
        <w:t xml:space="preserve">“governance survey” </w:t>
      </w:r>
      <w:r w:rsidR="00D80F53">
        <w:t>data al</w:t>
      </w:r>
      <w:r w:rsidR="00374A9D">
        <w:t>ready collected annually</w:t>
      </w:r>
      <w:r w:rsidR="004D2E49">
        <w:t xml:space="preserve"> </w:t>
      </w:r>
      <w:r w:rsidR="00D80F53">
        <w:t>by institutional research)</w:t>
      </w:r>
    </w:p>
    <w:p w14:paraId="531A066B" w14:textId="6117292E" w:rsidR="00C64E58" w:rsidRDefault="00E379C2" w:rsidP="007D3547">
      <w:pPr>
        <w:rPr>
          <w:b/>
        </w:rPr>
      </w:pPr>
      <w:r>
        <w:rPr>
          <w:b/>
          <w:noProof/>
          <w:lang w:eastAsia="en-US"/>
        </w:rPr>
        <mc:AlternateContent>
          <mc:Choice Requires="wps">
            <w:drawing>
              <wp:anchor distT="0" distB="0" distL="114300" distR="114300" simplePos="0" relativeHeight="251659264" behindDoc="0" locked="0" layoutInCell="1" allowOverlap="1" wp14:anchorId="23DC76D7" wp14:editId="302F9B0E">
                <wp:simplePos x="0" y="0"/>
                <wp:positionH relativeFrom="column">
                  <wp:posOffset>-40640</wp:posOffset>
                </wp:positionH>
                <wp:positionV relativeFrom="paragraph">
                  <wp:posOffset>137795</wp:posOffset>
                </wp:positionV>
                <wp:extent cx="6116320" cy="0"/>
                <wp:effectExtent l="50800" t="25400" r="55880" b="101600"/>
                <wp:wrapNone/>
                <wp:docPr id="1" name="Straight Connector 1"/>
                <wp:cNvGraphicFramePr/>
                <a:graphic xmlns:a="http://schemas.openxmlformats.org/drawingml/2006/main">
                  <a:graphicData uri="http://schemas.microsoft.com/office/word/2010/wordprocessingShape">
                    <wps:wsp>
                      <wps:cNvCnPr/>
                      <wps:spPr>
                        <a:xfrm>
                          <a:off x="0" y="0"/>
                          <a:ext cx="61163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0.85pt" to="478.4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" strokecolor="#4f81bd [3204]" strokeweight="2pt">
                <v:shadow on="t" opacity="24903f" mv:blur="40000f" origin=",.5" offset="0,20000emu"/>
              </v:line>
            </w:pict>
          </mc:Fallback>
        </mc:AlternateContent>
      </w:r>
    </w:p>
    <w:p w14:paraId="5D9D3671" w14:textId="77777777" w:rsidR="00F079C9" w:rsidRPr="00FD2263" w:rsidRDefault="00F079C9" w:rsidP="007D3547">
      <w:pPr>
        <w:rPr>
          <w:b/>
        </w:rPr>
      </w:pPr>
    </w:p>
    <w:p w14:paraId="4D89C873" w14:textId="487AD9C5" w:rsidR="00332AC9" w:rsidRDefault="00674817" w:rsidP="007D3547">
      <w:pPr>
        <w:rPr>
          <w:b/>
        </w:rPr>
      </w:pPr>
      <w:r w:rsidRPr="00FD2263">
        <w:rPr>
          <w:b/>
        </w:rPr>
        <w:t>Refere</w:t>
      </w:r>
      <w:r w:rsidR="00E90CE9" w:rsidRPr="00FD2263">
        <w:rPr>
          <w:b/>
        </w:rPr>
        <w:t>nce</w:t>
      </w:r>
      <w:r w:rsidR="00332AC9">
        <w:rPr>
          <w:b/>
        </w:rPr>
        <w:t>s</w:t>
      </w:r>
      <w:r w:rsidRPr="00FD2263">
        <w:rPr>
          <w:b/>
        </w:rPr>
        <w:t>:</w:t>
      </w:r>
      <w:r w:rsidR="00E90CE9" w:rsidRPr="00FD2263">
        <w:rPr>
          <w:b/>
        </w:rPr>
        <w:t xml:space="preserve"> </w:t>
      </w:r>
      <w:r w:rsidR="00332AC9">
        <w:rPr>
          <w:b/>
        </w:rPr>
        <w:br/>
      </w:r>
    </w:p>
    <w:p w14:paraId="772A4BDE" w14:textId="3D0373B6" w:rsidR="00974B6E" w:rsidRPr="00FD2263" w:rsidRDefault="003C59FC" w:rsidP="007D3547">
      <w:pPr>
        <w:rPr>
          <w:b/>
        </w:rPr>
      </w:pPr>
      <w:r w:rsidRPr="00FD2263">
        <w:rPr>
          <w:b/>
        </w:rPr>
        <w:t xml:space="preserve">Constitution of the </w:t>
      </w:r>
      <w:r w:rsidR="00E90CE9" w:rsidRPr="00FD2263">
        <w:rPr>
          <w:b/>
        </w:rPr>
        <w:t>Foothill College Academic Senate</w:t>
      </w:r>
    </w:p>
    <w:p w14:paraId="3DB9F1BA" w14:textId="77777777" w:rsidR="008D1A16" w:rsidRPr="00FD2263" w:rsidRDefault="008D1A16" w:rsidP="00F32A91">
      <w:pPr>
        <w:spacing w:after="120"/>
        <w:ind w:right="14"/>
        <w:rPr>
          <w:rFonts w:cs="Tahoma"/>
          <w:sz w:val="22"/>
          <w:szCs w:val="22"/>
          <w:u w:val="single"/>
        </w:rPr>
      </w:pPr>
      <w:r w:rsidRPr="00FD2263">
        <w:rPr>
          <w:rFonts w:cs="Tahoma"/>
          <w:sz w:val="22"/>
          <w:szCs w:val="22"/>
        </w:rPr>
        <w:t xml:space="preserve">Section 1. </w:t>
      </w:r>
      <w:r w:rsidRPr="00FD2263">
        <w:rPr>
          <w:rFonts w:cs="Tahoma"/>
          <w:sz w:val="22"/>
          <w:szCs w:val="22"/>
          <w:u w:val="single"/>
        </w:rPr>
        <w:t>Objectives.</w:t>
      </w:r>
    </w:p>
    <w:p w14:paraId="217B50C0" w14:textId="77777777" w:rsidR="008D1A16" w:rsidRPr="00FD2263" w:rsidRDefault="008D1A16" w:rsidP="00F32A91">
      <w:pPr>
        <w:tabs>
          <w:tab w:val="left" w:pos="360"/>
        </w:tabs>
        <w:spacing w:after="120"/>
        <w:ind w:right="14" w:firstLine="360"/>
        <w:rPr>
          <w:rFonts w:cs="Tahoma"/>
          <w:sz w:val="22"/>
          <w:szCs w:val="22"/>
        </w:rPr>
      </w:pPr>
      <w:r w:rsidRPr="00FD2263">
        <w:rPr>
          <w:rFonts w:cs="Tahoma"/>
          <w:sz w:val="22"/>
          <w:szCs w:val="22"/>
        </w:rPr>
        <w:t>The purpose of the Academic Senate shall be to give the Foothill College faculty a formal and effective procedure for participating in the formation of college and district policies on academic and professional matters. (Reference: Title 5, Subchapter 2, Article 2, Section 53201.) Moreover, the Senate will facilitate communication between the Senate and the administration, the Foothill-De Anza Community College Board of Trustees, the academic divisions, and the De Anza Faculty Senate.</w:t>
      </w:r>
    </w:p>
    <w:p w14:paraId="12D5A9F9" w14:textId="77777777" w:rsidR="008D1A16" w:rsidRPr="00FD2263" w:rsidRDefault="008D1A16" w:rsidP="00972938">
      <w:pPr>
        <w:ind w:right="18" w:firstLine="360"/>
        <w:rPr>
          <w:rFonts w:cs="Tahoma"/>
          <w:sz w:val="22"/>
          <w:szCs w:val="22"/>
        </w:rPr>
      </w:pPr>
    </w:p>
    <w:p w14:paraId="29E66F3A" w14:textId="62E6FD20" w:rsidR="008D1A16" w:rsidRPr="00FD2263" w:rsidRDefault="008D1A16" w:rsidP="00972938">
      <w:pPr>
        <w:ind w:right="18"/>
        <w:rPr>
          <w:rFonts w:cs="Tahoma"/>
          <w:sz w:val="22"/>
          <w:szCs w:val="22"/>
          <w:u w:val="single"/>
        </w:rPr>
      </w:pPr>
      <w:r w:rsidRPr="00FD2263">
        <w:rPr>
          <w:rFonts w:cs="Tahoma"/>
          <w:sz w:val="22"/>
          <w:szCs w:val="22"/>
        </w:rPr>
        <w:t xml:space="preserve">Section 2. </w:t>
      </w:r>
      <w:r w:rsidRPr="00FD2263">
        <w:rPr>
          <w:rFonts w:cs="Tahoma"/>
          <w:sz w:val="22"/>
          <w:szCs w:val="22"/>
          <w:u w:val="single"/>
        </w:rPr>
        <w:t>Responsibilities.</w:t>
      </w:r>
      <w:r w:rsidR="00DB6985">
        <w:rPr>
          <w:rFonts w:cs="Tahoma"/>
          <w:sz w:val="22"/>
          <w:szCs w:val="22"/>
          <w:u w:val="single"/>
        </w:rPr>
        <w:br/>
      </w:r>
    </w:p>
    <w:p w14:paraId="0845DFA3" w14:textId="77777777" w:rsidR="008D1A16" w:rsidRPr="00FD2263" w:rsidRDefault="008D1A16" w:rsidP="00972938">
      <w:pPr>
        <w:ind w:right="18" w:firstLine="360"/>
        <w:rPr>
          <w:rFonts w:cs="Tahoma"/>
          <w:sz w:val="22"/>
          <w:szCs w:val="22"/>
        </w:rPr>
      </w:pPr>
      <w:r w:rsidRPr="00FD2263">
        <w:rPr>
          <w:rFonts w:cs="Tahoma"/>
          <w:sz w:val="22"/>
          <w:szCs w:val="22"/>
        </w:rPr>
        <w:t>With regard to academic and professional matters, the Board of Governors and the Board of Trustees rely upon the recommendations of the Academic Senates. Therefore, it shall be the responsibility of the Academic Senate to be primarily concerned with and to make recommendations to the appropriate college and district administrators and management teams, the Board of Trustees, and state educational agencies on local and statewide community college educational issues, including but not limited to the following (Reference: Title 5, Subchapter 2, Article 2, Section 53200, paragraph (c)):</w:t>
      </w:r>
    </w:p>
    <w:p w14:paraId="7BA12257" w14:textId="77777777" w:rsidR="008D1A16" w:rsidRPr="00FD2263" w:rsidRDefault="008D1A16" w:rsidP="00972938">
      <w:pPr>
        <w:ind w:left="720" w:right="18" w:hanging="360"/>
        <w:rPr>
          <w:rFonts w:cs="Tahoma"/>
          <w:sz w:val="22"/>
          <w:szCs w:val="22"/>
        </w:rPr>
      </w:pPr>
      <w:r w:rsidRPr="00FD2263">
        <w:rPr>
          <w:rFonts w:cs="Tahoma"/>
          <w:sz w:val="22"/>
          <w:szCs w:val="22"/>
        </w:rPr>
        <w:t xml:space="preserve">(1) </w:t>
      </w:r>
      <w:proofErr w:type="gramStart"/>
      <w:r w:rsidRPr="00FD2263">
        <w:rPr>
          <w:rFonts w:cs="Tahoma"/>
          <w:sz w:val="22"/>
          <w:szCs w:val="22"/>
        </w:rPr>
        <w:t>curriculum</w:t>
      </w:r>
      <w:proofErr w:type="gramEnd"/>
      <w:r w:rsidRPr="00FD2263">
        <w:rPr>
          <w:rFonts w:cs="Tahoma"/>
          <w:sz w:val="22"/>
          <w:szCs w:val="22"/>
        </w:rPr>
        <w:t>, including establishing prerequisites and placing courses within disciplines,</w:t>
      </w:r>
    </w:p>
    <w:p w14:paraId="6FAF514C" w14:textId="77777777" w:rsidR="008D1A16" w:rsidRPr="00FD2263" w:rsidRDefault="008D1A16" w:rsidP="00972938">
      <w:pPr>
        <w:ind w:right="18" w:firstLine="360"/>
        <w:rPr>
          <w:rFonts w:cs="Tahoma"/>
          <w:sz w:val="22"/>
          <w:szCs w:val="22"/>
        </w:rPr>
      </w:pPr>
      <w:r w:rsidRPr="00FD2263">
        <w:rPr>
          <w:rFonts w:cs="Tahoma"/>
          <w:sz w:val="22"/>
          <w:szCs w:val="22"/>
        </w:rPr>
        <w:t xml:space="preserve">(2) </w:t>
      </w:r>
      <w:proofErr w:type="gramStart"/>
      <w:r w:rsidRPr="00FD2263">
        <w:rPr>
          <w:rFonts w:cs="Tahoma"/>
          <w:sz w:val="22"/>
          <w:szCs w:val="22"/>
        </w:rPr>
        <w:t>degree</w:t>
      </w:r>
      <w:proofErr w:type="gramEnd"/>
      <w:r w:rsidRPr="00FD2263">
        <w:rPr>
          <w:rFonts w:cs="Tahoma"/>
          <w:sz w:val="22"/>
          <w:szCs w:val="22"/>
        </w:rPr>
        <w:t xml:space="preserve"> and certificate requirements, </w:t>
      </w:r>
    </w:p>
    <w:p w14:paraId="33CECDD1" w14:textId="77777777" w:rsidR="008D1A16" w:rsidRPr="00FD2263" w:rsidRDefault="008D1A16" w:rsidP="00972938">
      <w:pPr>
        <w:pStyle w:val="normalHelvetica"/>
        <w:ind w:right="18"/>
        <w:rPr>
          <w:rFonts w:asciiTheme="minorHAnsi" w:hAnsiTheme="minorHAnsi" w:cs="Tahoma"/>
          <w:sz w:val="22"/>
          <w:szCs w:val="22"/>
        </w:rPr>
      </w:pPr>
      <w:r w:rsidRPr="00FD2263">
        <w:rPr>
          <w:rFonts w:asciiTheme="minorHAnsi" w:hAnsiTheme="minorHAnsi" w:cs="Tahoma"/>
          <w:sz w:val="22"/>
          <w:szCs w:val="22"/>
        </w:rPr>
        <w:t xml:space="preserve">(3) </w:t>
      </w:r>
      <w:proofErr w:type="gramStart"/>
      <w:r w:rsidRPr="00FD2263">
        <w:rPr>
          <w:rFonts w:asciiTheme="minorHAnsi" w:hAnsiTheme="minorHAnsi" w:cs="Tahoma"/>
          <w:sz w:val="22"/>
          <w:szCs w:val="22"/>
        </w:rPr>
        <w:t>grading</w:t>
      </w:r>
      <w:proofErr w:type="gramEnd"/>
      <w:r w:rsidRPr="00FD2263">
        <w:rPr>
          <w:rFonts w:asciiTheme="minorHAnsi" w:hAnsiTheme="minorHAnsi" w:cs="Tahoma"/>
          <w:sz w:val="22"/>
          <w:szCs w:val="22"/>
        </w:rPr>
        <w:t xml:space="preserve"> policies,</w:t>
      </w:r>
    </w:p>
    <w:p w14:paraId="1FBA927C" w14:textId="77777777" w:rsidR="008D1A16" w:rsidRPr="00FD2263" w:rsidRDefault="008D1A16" w:rsidP="00972938">
      <w:pPr>
        <w:ind w:right="18" w:firstLine="360"/>
        <w:rPr>
          <w:rFonts w:cs="Tahoma"/>
          <w:sz w:val="22"/>
          <w:szCs w:val="22"/>
        </w:rPr>
      </w:pPr>
      <w:r w:rsidRPr="00FD2263">
        <w:rPr>
          <w:rFonts w:cs="Tahoma"/>
          <w:sz w:val="22"/>
          <w:szCs w:val="22"/>
        </w:rPr>
        <w:t xml:space="preserve">(4) </w:t>
      </w:r>
      <w:proofErr w:type="gramStart"/>
      <w:r w:rsidRPr="00FD2263">
        <w:rPr>
          <w:rFonts w:cs="Tahoma"/>
          <w:sz w:val="22"/>
          <w:szCs w:val="22"/>
        </w:rPr>
        <w:t>educational</w:t>
      </w:r>
      <w:proofErr w:type="gramEnd"/>
      <w:r w:rsidRPr="00FD2263">
        <w:rPr>
          <w:rFonts w:cs="Tahoma"/>
          <w:sz w:val="22"/>
          <w:szCs w:val="22"/>
        </w:rPr>
        <w:t xml:space="preserve"> program development,</w:t>
      </w:r>
    </w:p>
    <w:p w14:paraId="5392646E" w14:textId="77777777" w:rsidR="008D1A16" w:rsidRPr="00FD2263" w:rsidRDefault="008D1A16" w:rsidP="00972938">
      <w:pPr>
        <w:ind w:right="18" w:firstLine="360"/>
        <w:rPr>
          <w:rFonts w:cs="Tahoma"/>
          <w:sz w:val="22"/>
          <w:szCs w:val="22"/>
        </w:rPr>
      </w:pPr>
      <w:r w:rsidRPr="00FD2263">
        <w:rPr>
          <w:rFonts w:cs="Tahoma"/>
          <w:sz w:val="22"/>
          <w:szCs w:val="22"/>
        </w:rPr>
        <w:t xml:space="preserve">(5) </w:t>
      </w:r>
      <w:proofErr w:type="gramStart"/>
      <w:r w:rsidRPr="00FD2263">
        <w:rPr>
          <w:rFonts w:cs="Tahoma"/>
          <w:sz w:val="22"/>
          <w:szCs w:val="22"/>
        </w:rPr>
        <w:t>standards</w:t>
      </w:r>
      <w:proofErr w:type="gramEnd"/>
      <w:r w:rsidRPr="00FD2263">
        <w:rPr>
          <w:rFonts w:cs="Tahoma"/>
          <w:sz w:val="22"/>
          <w:szCs w:val="22"/>
        </w:rPr>
        <w:t xml:space="preserve"> or policies regarding student preparation and success,</w:t>
      </w:r>
    </w:p>
    <w:p w14:paraId="3223B172" w14:textId="77777777" w:rsidR="008D1A16" w:rsidRPr="00FD2263" w:rsidRDefault="008D1A16" w:rsidP="00972938">
      <w:pPr>
        <w:ind w:right="18" w:firstLine="360"/>
        <w:rPr>
          <w:rFonts w:cs="Tahoma"/>
          <w:sz w:val="22"/>
          <w:szCs w:val="22"/>
        </w:rPr>
      </w:pPr>
      <w:r w:rsidRPr="00FD2263">
        <w:rPr>
          <w:rFonts w:cs="Tahoma"/>
          <w:sz w:val="22"/>
          <w:szCs w:val="22"/>
        </w:rPr>
        <w:t xml:space="preserve">(6) </w:t>
      </w:r>
      <w:proofErr w:type="gramStart"/>
      <w:r w:rsidRPr="00FD2263">
        <w:rPr>
          <w:rFonts w:cs="Tahoma"/>
          <w:sz w:val="22"/>
          <w:szCs w:val="22"/>
        </w:rPr>
        <w:t>district</w:t>
      </w:r>
      <w:proofErr w:type="gramEnd"/>
      <w:r w:rsidRPr="00FD2263">
        <w:rPr>
          <w:rFonts w:cs="Tahoma"/>
          <w:sz w:val="22"/>
          <w:szCs w:val="22"/>
        </w:rPr>
        <w:t xml:space="preserve"> and college governance structures, as related to faculty roles,</w:t>
      </w:r>
    </w:p>
    <w:p w14:paraId="1E5B21F5" w14:textId="77777777" w:rsidR="008D1A16" w:rsidRPr="00FD2263" w:rsidRDefault="008D1A16" w:rsidP="00972938">
      <w:pPr>
        <w:ind w:left="720" w:right="18" w:hanging="360"/>
        <w:rPr>
          <w:rFonts w:cs="Tahoma"/>
          <w:sz w:val="22"/>
          <w:szCs w:val="22"/>
        </w:rPr>
      </w:pPr>
      <w:r w:rsidRPr="00FD2263">
        <w:rPr>
          <w:rFonts w:cs="Tahoma"/>
          <w:sz w:val="22"/>
          <w:szCs w:val="22"/>
        </w:rPr>
        <w:lastRenderedPageBreak/>
        <w:t xml:space="preserve">(7) </w:t>
      </w:r>
      <w:proofErr w:type="gramStart"/>
      <w:r w:rsidRPr="00FD2263">
        <w:rPr>
          <w:rFonts w:cs="Tahoma"/>
          <w:sz w:val="22"/>
          <w:szCs w:val="22"/>
        </w:rPr>
        <w:t>faculty</w:t>
      </w:r>
      <w:proofErr w:type="gramEnd"/>
      <w:r w:rsidRPr="00FD2263">
        <w:rPr>
          <w:rFonts w:cs="Tahoma"/>
          <w:sz w:val="22"/>
          <w:szCs w:val="22"/>
        </w:rPr>
        <w:t xml:space="preserve"> roles and involvement in accreditation processes, including self-study and annual reports,</w:t>
      </w:r>
    </w:p>
    <w:p w14:paraId="293268AE" w14:textId="77777777" w:rsidR="008D1A16" w:rsidRPr="00FD2263" w:rsidRDefault="008D1A16" w:rsidP="00972938">
      <w:pPr>
        <w:ind w:right="18" w:firstLine="360"/>
        <w:rPr>
          <w:rFonts w:cs="Tahoma"/>
          <w:sz w:val="22"/>
          <w:szCs w:val="22"/>
        </w:rPr>
      </w:pPr>
      <w:r w:rsidRPr="00FD2263">
        <w:rPr>
          <w:rFonts w:cs="Tahoma"/>
          <w:sz w:val="22"/>
          <w:szCs w:val="22"/>
        </w:rPr>
        <w:t xml:space="preserve">(8) </w:t>
      </w:r>
      <w:proofErr w:type="gramStart"/>
      <w:r w:rsidRPr="00FD2263">
        <w:rPr>
          <w:rFonts w:cs="Tahoma"/>
          <w:sz w:val="22"/>
          <w:szCs w:val="22"/>
        </w:rPr>
        <w:t>policies</w:t>
      </w:r>
      <w:proofErr w:type="gramEnd"/>
      <w:r w:rsidRPr="00FD2263">
        <w:rPr>
          <w:rFonts w:cs="Tahoma"/>
          <w:sz w:val="22"/>
          <w:szCs w:val="22"/>
        </w:rPr>
        <w:t xml:space="preserve"> for faculty professional development activities,</w:t>
      </w:r>
    </w:p>
    <w:p w14:paraId="0DE6A94A" w14:textId="77777777" w:rsidR="008D1A16" w:rsidRPr="00FD2263" w:rsidRDefault="008D1A16" w:rsidP="00972938">
      <w:pPr>
        <w:ind w:right="18" w:firstLine="360"/>
        <w:rPr>
          <w:rFonts w:cs="Tahoma"/>
          <w:sz w:val="22"/>
          <w:szCs w:val="22"/>
        </w:rPr>
      </w:pPr>
      <w:r w:rsidRPr="00FD2263">
        <w:rPr>
          <w:rFonts w:cs="Tahoma"/>
          <w:sz w:val="22"/>
          <w:szCs w:val="22"/>
        </w:rPr>
        <w:t xml:space="preserve">(9) </w:t>
      </w:r>
      <w:proofErr w:type="gramStart"/>
      <w:r w:rsidRPr="00FD2263">
        <w:rPr>
          <w:rFonts w:cs="Tahoma"/>
          <w:sz w:val="22"/>
          <w:szCs w:val="22"/>
        </w:rPr>
        <w:t>processes</w:t>
      </w:r>
      <w:proofErr w:type="gramEnd"/>
      <w:r w:rsidRPr="00FD2263">
        <w:rPr>
          <w:rFonts w:cs="Tahoma"/>
          <w:sz w:val="22"/>
          <w:szCs w:val="22"/>
        </w:rPr>
        <w:t xml:space="preserve"> for program review, </w:t>
      </w:r>
    </w:p>
    <w:p w14:paraId="64F939B2" w14:textId="77777777" w:rsidR="008D1A16" w:rsidRPr="00FD2263" w:rsidRDefault="008D1A16" w:rsidP="00972938">
      <w:pPr>
        <w:ind w:right="18" w:firstLine="270"/>
        <w:rPr>
          <w:rFonts w:cs="Tahoma"/>
          <w:sz w:val="22"/>
          <w:szCs w:val="22"/>
        </w:rPr>
      </w:pPr>
      <w:r w:rsidRPr="00FD2263">
        <w:rPr>
          <w:rFonts w:cs="Tahoma"/>
          <w:sz w:val="22"/>
          <w:szCs w:val="22"/>
        </w:rPr>
        <w:t xml:space="preserve">(10) </w:t>
      </w:r>
      <w:proofErr w:type="gramStart"/>
      <w:r w:rsidRPr="00FD2263">
        <w:rPr>
          <w:rFonts w:cs="Tahoma"/>
          <w:sz w:val="22"/>
          <w:szCs w:val="22"/>
        </w:rPr>
        <w:t>processes</w:t>
      </w:r>
      <w:proofErr w:type="gramEnd"/>
      <w:r w:rsidRPr="00FD2263">
        <w:rPr>
          <w:rFonts w:cs="Tahoma"/>
          <w:sz w:val="22"/>
          <w:szCs w:val="22"/>
        </w:rPr>
        <w:t xml:space="preserve"> for institutional planning and budget development and</w:t>
      </w:r>
    </w:p>
    <w:p w14:paraId="48275C3F" w14:textId="77777777" w:rsidR="008D1A16" w:rsidRPr="00FD2263" w:rsidRDefault="008D1A16" w:rsidP="00972938">
      <w:pPr>
        <w:ind w:left="720" w:right="18" w:hanging="450"/>
        <w:rPr>
          <w:rFonts w:cs="Tahoma"/>
          <w:sz w:val="22"/>
          <w:szCs w:val="22"/>
        </w:rPr>
      </w:pPr>
      <w:r w:rsidRPr="00FD2263">
        <w:rPr>
          <w:rFonts w:cs="Tahoma"/>
          <w:sz w:val="22"/>
          <w:szCs w:val="22"/>
        </w:rPr>
        <w:t xml:space="preserve">(11) </w:t>
      </w:r>
      <w:proofErr w:type="gramStart"/>
      <w:r w:rsidRPr="00FD2263">
        <w:rPr>
          <w:rFonts w:cs="Tahoma"/>
          <w:sz w:val="22"/>
          <w:szCs w:val="22"/>
        </w:rPr>
        <w:t>other</w:t>
      </w:r>
      <w:proofErr w:type="gramEnd"/>
      <w:r w:rsidRPr="00FD2263">
        <w:rPr>
          <w:rFonts w:cs="Tahoma"/>
          <w:sz w:val="22"/>
          <w:szCs w:val="22"/>
        </w:rPr>
        <w:t xml:space="preserve"> academic and professional matters as are mutually agreed upon between the governing board and the Academic Senate.</w:t>
      </w:r>
    </w:p>
    <w:p w14:paraId="7F1758E3" w14:textId="77777777" w:rsidR="008D1A16" w:rsidRPr="00FD2263" w:rsidRDefault="008D1A16" w:rsidP="00972938">
      <w:pPr>
        <w:ind w:right="18"/>
      </w:pPr>
    </w:p>
    <w:p w14:paraId="4CBCDA4C" w14:textId="32D1A564" w:rsidR="00674817" w:rsidRPr="00AD7AC9" w:rsidRDefault="00F538DD" w:rsidP="00972938">
      <w:pPr>
        <w:ind w:right="18"/>
        <w:rPr>
          <w:b/>
          <w:sz w:val="22"/>
          <w:szCs w:val="22"/>
        </w:rPr>
      </w:pPr>
      <w:proofErr w:type="spellStart"/>
      <w:r w:rsidRPr="00AD7AC9">
        <w:rPr>
          <w:b/>
          <w:sz w:val="22"/>
          <w:szCs w:val="22"/>
        </w:rPr>
        <w:t>TracDat</w:t>
      </w:r>
      <w:proofErr w:type="spellEnd"/>
      <w:r w:rsidR="003A493F" w:rsidRPr="00AD7AC9">
        <w:rPr>
          <w:b/>
          <w:sz w:val="22"/>
          <w:szCs w:val="22"/>
        </w:rPr>
        <w:t xml:space="preserve"> </w:t>
      </w:r>
      <w:proofErr w:type="gramStart"/>
      <w:r w:rsidR="003A493F" w:rsidRPr="00AD7AC9">
        <w:rPr>
          <w:b/>
          <w:sz w:val="22"/>
          <w:szCs w:val="22"/>
        </w:rPr>
        <w:t xml:space="preserve">– </w:t>
      </w:r>
      <w:r w:rsidR="007A0223" w:rsidRPr="00AD7AC9">
        <w:rPr>
          <w:b/>
          <w:sz w:val="22"/>
          <w:szCs w:val="22"/>
        </w:rPr>
        <w:t xml:space="preserve"> </w:t>
      </w:r>
      <w:r w:rsidR="00C36061" w:rsidRPr="00AD7AC9">
        <w:rPr>
          <w:b/>
          <w:sz w:val="22"/>
          <w:szCs w:val="22"/>
        </w:rPr>
        <w:t>Current</w:t>
      </w:r>
      <w:proofErr w:type="gramEnd"/>
      <w:r w:rsidR="00C36061" w:rsidRPr="00AD7AC9">
        <w:rPr>
          <w:b/>
          <w:sz w:val="22"/>
          <w:szCs w:val="22"/>
        </w:rPr>
        <w:t xml:space="preserve"> AUOs are</w:t>
      </w:r>
      <w:r w:rsidR="007A0223" w:rsidRPr="00AD7AC9">
        <w:rPr>
          <w:b/>
          <w:sz w:val="22"/>
          <w:szCs w:val="22"/>
        </w:rPr>
        <w:t>:</w:t>
      </w:r>
    </w:p>
    <w:p w14:paraId="33ED001D" w14:textId="5AE5C3C2" w:rsidR="00C36061" w:rsidRPr="00377B54" w:rsidRDefault="0049154C" w:rsidP="00972938">
      <w:pPr>
        <w:pStyle w:val="ListParagraph"/>
        <w:numPr>
          <w:ilvl w:val="0"/>
          <w:numId w:val="1"/>
        </w:numPr>
        <w:ind w:right="18"/>
        <w:rPr>
          <w:sz w:val="22"/>
          <w:szCs w:val="22"/>
        </w:rPr>
      </w:pPr>
      <w:r w:rsidRPr="00377B54">
        <w:rPr>
          <w:sz w:val="22"/>
          <w:szCs w:val="22"/>
        </w:rPr>
        <w:t>“Increase Faculty Awareness” – Faculty will be aware of professional development and other opportunities locally and statewide</w:t>
      </w:r>
      <w:r w:rsidR="00A34511" w:rsidRPr="00377B54">
        <w:rPr>
          <w:sz w:val="22"/>
          <w:szCs w:val="22"/>
        </w:rPr>
        <w:t>.</w:t>
      </w:r>
    </w:p>
    <w:p w14:paraId="4D79F62C" w14:textId="2134E5CA" w:rsidR="00A34511" w:rsidRPr="00377B54" w:rsidRDefault="00A34511" w:rsidP="00972938">
      <w:pPr>
        <w:pStyle w:val="ListParagraph"/>
        <w:numPr>
          <w:ilvl w:val="0"/>
          <w:numId w:val="1"/>
        </w:numPr>
        <w:ind w:right="18"/>
        <w:rPr>
          <w:sz w:val="22"/>
          <w:szCs w:val="22"/>
        </w:rPr>
      </w:pPr>
      <w:r w:rsidRPr="00377B54">
        <w:rPr>
          <w:sz w:val="22"/>
          <w:szCs w:val="22"/>
        </w:rPr>
        <w:t>“Participation” – Faculty will be aware of opportunities to participate in senate committees and activities</w:t>
      </w:r>
      <w:r w:rsidR="00D36D3A" w:rsidRPr="00377B54">
        <w:rPr>
          <w:sz w:val="22"/>
          <w:szCs w:val="22"/>
        </w:rPr>
        <w:t>.</w:t>
      </w:r>
    </w:p>
    <w:sectPr w:rsidR="00A34511" w:rsidRPr="00377B54" w:rsidSect="00D04647">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7D817" w14:textId="77777777" w:rsidR="00972938" w:rsidRDefault="00972938" w:rsidP="00D04647">
      <w:r>
        <w:separator/>
      </w:r>
    </w:p>
  </w:endnote>
  <w:endnote w:type="continuationSeparator" w:id="0">
    <w:p w14:paraId="22290EC6" w14:textId="77777777" w:rsidR="00972938" w:rsidRDefault="00972938" w:rsidP="00D0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4F126E" w14:textId="77777777" w:rsidR="00972938" w:rsidRDefault="009729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B24D01" w14:textId="2CE5EDAD" w:rsidR="00972938" w:rsidRDefault="00972938">
    <w:pPr>
      <w:pStyle w:val="Footer"/>
    </w:pPr>
    <w:r>
      <w:fldChar w:fldCharType="begin"/>
    </w:r>
    <w:r>
      <w:instrText xml:space="preserve"> TIME \@ "M/d/yy h:mm am/pm" </w:instrText>
    </w:r>
    <w:r>
      <w:fldChar w:fldCharType="separate"/>
    </w:r>
    <w:r>
      <w:rPr>
        <w:noProof/>
      </w:rPr>
      <w:t>2/8/15 12:29 PM</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EED395" w14:textId="77777777" w:rsidR="00972938" w:rsidRDefault="009729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7F634" w14:textId="77777777" w:rsidR="00972938" w:rsidRDefault="00972938" w:rsidP="00D04647">
      <w:r>
        <w:separator/>
      </w:r>
    </w:p>
  </w:footnote>
  <w:footnote w:type="continuationSeparator" w:id="0">
    <w:p w14:paraId="47F0E712" w14:textId="77777777" w:rsidR="00972938" w:rsidRDefault="00972938" w:rsidP="00D046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04E5EE" w14:textId="08D18914" w:rsidR="00972938" w:rsidRDefault="00972938">
    <w:pPr>
      <w:pStyle w:val="Header"/>
    </w:pPr>
    <w:r>
      <w:rPr>
        <w:noProof/>
        <w:lang w:eastAsia="en-US"/>
      </w:rPr>
      <w:pict w14:anchorId="5CE6442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3.4pt;height:226.7pt;rotation:315;z-index:-251655168;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3B230B" w14:textId="3422D071" w:rsidR="00972938" w:rsidRDefault="00972938">
    <w:pPr>
      <w:pStyle w:val="Header"/>
    </w:pPr>
    <w:r>
      <w:rPr>
        <w:noProof/>
        <w:lang w:eastAsia="en-US"/>
      </w:rPr>
      <w:pict w14:anchorId="66C87A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3.4pt;height:226.7pt;rotation:315;z-index:-251657216;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18C0EF" w14:textId="6653C087" w:rsidR="00972938" w:rsidRDefault="00972938">
    <w:pPr>
      <w:pStyle w:val="Header"/>
    </w:pPr>
    <w:r>
      <w:rPr>
        <w:noProof/>
        <w:lang w:eastAsia="en-US"/>
      </w:rPr>
      <w:pict w14:anchorId="3D40499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3.4pt;height:226.7pt;rotation:315;z-index:-251653120;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AB1"/>
    <w:multiLevelType w:val="hybridMultilevel"/>
    <w:tmpl w:val="EE4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47"/>
    <w:rsid w:val="00056A7B"/>
    <w:rsid w:val="00066ED7"/>
    <w:rsid w:val="000A6DC9"/>
    <w:rsid w:val="000F6A78"/>
    <w:rsid w:val="001479FA"/>
    <w:rsid w:val="00171A9B"/>
    <w:rsid w:val="0019713B"/>
    <w:rsid w:val="001C6195"/>
    <w:rsid w:val="001D284E"/>
    <w:rsid w:val="00216F65"/>
    <w:rsid w:val="002B39B8"/>
    <w:rsid w:val="002D0084"/>
    <w:rsid w:val="002D362B"/>
    <w:rsid w:val="0030489C"/>
    <w:rsid w:val="0032334E"/>
    <w:rsid w:val="00332AC9"/>
    <w:rsid w:val="00361FD3"/>
    <w:rsid w:val="00374A9D"/>
    <w:rsid w:val="00377B54"/>
    <w:rsid w:val="003A493F"/>
    <w:rsid w:val="003C59FC"/>
    <w:rsid w:val="003D7DA8"/>
    <w:rsid w:val="003E180F"/>
    <w:rsid w:val="003E66B1"/>
    <w:rsid w:val="0040025F"/>
    <w:rsid w:val="004349D6"/>
    <w:rsid w:val="00446AB0"/>
    <w:rsid w:val="0049154C"/>
    <w:rsid w:val="00496A2A"/>
    <w:rsid w:val="004D2E49"/>
    <w:rsid w:val="004F169C"/>
    <w:rsid w:val="004F6420"/>
    <w:rsid w:val="005022BC"/>
    <w:rsid w:val="00503884"/>
    <w:rsid w:val="00520839"/>
    <w:rsid w:val="005A0161"/>
    <w:rsid w:val="005A63D5"/>
    <w:rsid w:val="00614489"/>
    <w:rsid w:val="006214D5"/>
    <w:rsid w:val="00630013"/>
    <w:rsid w:val="00674817"/>
    <w:rsid w:val="006C35AF"/>
    <w:rsid w:val="007A0223"/>
    <w:rsid w:val="007B5202"/>
    <w:rsid w:val="007C371D"/>
    <w:rsid w:val="007D3547"/>
    <w:rsid w:val="007E2735"/>
    <w:rsid w:val="007E4AE4"/>
    <w:rsid w:val="0085404F"/>
    <w:rsid w:val="00876852"/>
    <w:rsid w:val="00884D8E"/>
    <w:rsid w:val="008A07A7"/>
    <w:rsid w:val="008D1A16"/>
    <w:rsid w:val="0096173B"/>
    <w:rsid w:val="009657B5"/>
    <w:rsid w:val="00972938"/>
    <w:rsid w:val="00974B6E"/>
    <w:rsid w:val="009C3F36"/>
    <w:rsid w:val="009E36A2"/>
    <w:rsid w:val="00A01829"/>
    <w:rsid w:val="00A34511"/>
    <w:rsid w:val="00A553F0"/>
    <w:rsid w:val="00A74C7E"/>
    <w:rsid w:val="00AC4238"/>
    <w:rsid w:val="00AD7AC9"/>
    <w:rsid w:val="00AE6279"/>
    <w:rsid w:val="00B230F4"/>
    <w:rsid w:val="00B41173"/>
    <w:rsid w:val="00B53047"/>
    <w:rsid w:val="00B63527"/>
    <w:rsid w:val="00B859ED"/>
    <w:rsid w:val="00B86AC6"/>
    <w:rsid w:val="00B90CDA"/>
    <w:rsid w:val="00B93D3D"/>
    <w:rsid w:val="00BE229A"/>
    <w:rsid w:val="00C36061"/>
    <w:rsid w:val="00C64E58"/>
    <w:rsid w:val="00C8578F"/>
    <w:rsid w:val="00CE7CB1"/>
    <w:rsid w:val="00D04647"/>
    <w:rsid w:val="00D36D3A"/>
    <w:rsid w:val="00D53E0A"/>
    <w:rsid w:val="00D61E41"/>
    <w:rsid w:val="00D80F53"/>
    <w:rsid w:val="00D902BA"/>
    <w:rsid w:val="00DA298C"/>
    <w:rsid w:val="00DB6985"/>
    <w:rsid w:val="00E0267E"/>
    <w:rsid w:val="00E241C8"/>
    <w:rsid w:val="00E243EE"/>
    <w:rsid w:val="00E379C2"/>
    <w:rsid w:val="00E570E2"/>
    <w:rsid w:val="00E571EB"/>
    <w:rsid w:val="00E90CE9"/>
    <w:rsid w:val="00F079C9"/>
    <w:rsid w:val="00F11C85"/>
    <w:rsid w:val="00F260B5"/>
    <w:rsid w:val="00F32A91"/>
    <w:rsid w:val="00F34735"/>
    <w:rsid w:val="00F538DD"/>
    <w:rsid w:val="00FD2263"/>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23E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customStyle="1" w:styleId="normalHelvetica">
    <w:name w:val="normal Helvetica"/>
    <w:aliases w:val="no strikethru"/>
    <w:basedOn w:val="Normal"/>
    <w:rsid w:val="008D1A16"/>
    <w:pPr>
      <w:ind w:right="-360" w:firstLine="360"/>
    </w:pPr>
    <w:rPr>
      <w:rFonts w:ascii="Helvetica" w:eastAsia="Times New Roman" w:hAnsi="Helvetica" w:cs="Times New Roman"/>
      <w:lang w:eastAsia="en-US"/>
    </w:rPr>
  </w:style>
  <w:style w:type="paragraph" w:styleId="Header">
    <w:name w:val="header"/>
    <w:basedOn w:val="Normal"/>
    <w:link w:val="HeaderChar"/>
    <w:uiPriority w:val="99"/>
    <w:unhideWhenUsed/>
    <w:rsid w:val="00D04647"/>
    <w:pPr>
      <w:tabs>
        <w:tab w:val="center" w:pos="4320"/>
        <w:tab w:val="right" w:pos="8640"/>
      </w:tabs>
    </w:pPr>
  </w:style>
  <w:style w:type="character" w:customStyle="1" w:styleId="HeaderChar">
    <w:name w:val="Header Char"/>
    <w:basedOn w:val="DefaultParagraphFont"/>
    <w:link w:val="Header"/>
    <w:uiPriority w:val="99"/>
    <w:rsid w:val="00D04647"/>
    <w:rPr>
      <w:sz w:val="24"/>
    </w:rPr>
  </w:style>
  <w:style w:type="paragraph" w:styleId="Footer">
    <w:name w:val="footer"/>
    <w:basedOn w:val="Normal"/>
    <w:link w:val="FooterChar"/>
    <w:uiPriority w:val="99"/>
    <w:unhideWhenUsed/>
    <w:rsid w:val="00D04647"/>
    <w:pPr>
      <w:tabs>
        <w:tab w:val="center" w:pos="4320"/>
        <w:tab w:val="right" w:pos="8640"/>
      </w:tabs>
    </w:pPr>
  </w:style>
  <w:style w:type="character" w:customStyle="1" w:styleId="FooterChar">
    <w:name w:val="Footer Char"/>
    <w:basedOn w:val="DefaultParagraphFont"/>
    <w:link w:val="Footer"/>
    <w:uiPriority w:val="99"/>
    <w:rsid w:val="00D04647"/>
    <w:rPr>
      <w:sz w:val="24"/>
    </w:rPr>
  </w:style>
  <w:style w:type="paragraph" w:styleId="ListParagraph">
    <w:name w:val="List Paragraph"/>
    <w:basedOn w:val="Normal"/>
    <w:uiPriority w:val="34"/>
    <w:qFormat/>
    <w:rsid w:val="0049154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customStyle="1" w:styleId="normalHelvetica">
    <w:name w:val="normal Helvetica"/>
    <w:aliases w:val="no strikethru"/>
    <w:basedOn w:val="Normal"/>
    <w:rsid w:val="008D1A16"/>
    <w:pPr>
      <w:ind w:right="-360" w:firstLine="360"/>
    </w:pPr>
    <w:rPr>
      <w:rFonts w:ascii="Helvetica" w:eastAsia="Times New Roman" w:hAnsi="Helvetica" w:cs="Times New Roman"/>
      <w:lang w:eastAsia="en-US"/>
    </w:rPr>
  </w:style>
  <w:style w:type="paragraph" w:styleId="Header">
    <w:name w:val="header"/>
    <w:basedOn w:val="Normal"/>
    <w:link w:val="HeaderChar"/>
    <w:uiPriority w:val="99"/>
    <w:unhideWhenUsed/>
    <w:rsid w:val="00D04647"/>
    <w:pPr>
      <w:tabs>
        <w:tab w:val="center" w:pos="4320"/>
        <w:tab w:val="right" w:pos="8640"/>
      </w:tabs>
    </w:pPr>
  </w:style>
  <w:style w:type="character" w:customStyle="1" w:styleId="HeaderChar">
    <w:name w:val="Header Char"/>
    <w:basedOn w:val="DefaultParagraphFont"/>
    <w:link w:val="Header"/>
    <w:uiPriority w:val="99"/>
    <w:rsid w:val="00D04647"/>
    <w:rPr>
      <w:sz w:val="24"/>
    </w:rPr>
  </w:style>
  <w:style w:type="paragraph" w:styleId="Footer">
    <w:name w:val="footer"/>
    <w:basedOn w:val="Normal"/>
    <w:link w:val="FooterChar"/>
    <w:uiPriority w:val="99"/>
    <w:unhideWhenUsed/>
    <w:rsid w:val="00D04647"/>
    <w:pPr>
      <w:tabs>
        <w:tab w:val="center" w:pos="4320"/>
        <w:tab w:val="right" w:pos="8640"/>
      </w:tabs>
    </w:pPr>
  </w:style>
  <w:style w:type="character" w:customStyle="1" w:styleId="FooterChar">
    <w:name w:val="Footer Char"/>
    <w:basedOn w:val="DefaultParagraphFont"/>
    <w:link w:val="Footer"/>
    <w:uiPriority w:val="99"/>
    <w:rsid w:val="00D04647"/>
    <w:rPr>
      <w:sz w:val="24"/>
    </w:rPr>
  </w:style>
  <w:style w:type="paragraph" w:styleId="ListParagraph">
    <w:name w:val="List Paragraph"/>
    <w:basedOn w:val="Normal"/>
    <w:uiPriority w:val="34"/>
    <w:qFormat/>
    <w:rsid w:val="0049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460</Words>
  <Characters>2624</Characters>
  <Application>Microsoft Macintosh Word</Application>
  <DocSecurity>0</DocSecurity>
  <Lines>21</Lines>
  <Paragraphs>6</Paragraphs>
  <ScaleCrop>false</ScaleCrop>
  <Company>Foothill College</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96</cp:revision>
  <dcterms:created xsi:type="dcterms:W3CDTF">2015-02-08T20:27:00Z</dcterms:created>
  <dcterms:modified xsi:type="dcterms:W3CDTF">2015-02-08T21:03:00Z</dcterms:modified>
</cp:coreProperties>
</file>