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D2C2B" w14:textId="477D6AD6" w:rsidR="001926FA" w:rsidRPr="00925886" w:rsidRDefault="009759B8" w:rsidP="001926FA">
      <w:pPr>
        <w:rPr>
          <w:sz w:val="22"/>
          <w:szCs w:val="22"/>
        </w:rPr>
      </w:pPr>
      <w:r w:rsidRPr="00925886">
        <w:rPr>
          <w:sz w:val="22"/>
          <w:szCs w:val="22"/>
        </w:rPr>
        <w:t xml:space="preserve">Foothill academic senate president Carolyn Holcroft and </w:t>
      </w:r>
      <w:r w:rsidR="009D184E">
        <w:rPr>
          <w:sz w:val="22"/>
          <w:szCs w:val="22"/>
        </w:rPr>
        <w:t xml:space="preserve">Foothill academic senate </w:t>
      </w:r>
      <w:r w:rsidR="00FF61E0">
        <w:rPr>
          <w:sz w:val="22"/>
          <w:szCs w:val="22"/>
        </w:rPr>
        <w:t>vice president</w:t>
      </w:r>
      <w:r w:rsidR="009D184E">
        <w:rPr>
          <w:sz w:val="22"/>
          <w:szCs w:val="22"/>
        </w:rPr>
        <w:t xml:space="preserve"> (and district senate president)</w:t>
      </w:r>
      <w:r w:rsidR="00FF61E0">
        <w:rPr>
          <w:sz w:val="22"/>
          <w:szCs w:val="22"/>
        </w:rPr>
        <w:t xml:space="preserve"> Isaac Escoto </w:t>
      </w:r>
      <w:r w:rsidRPr="00925886">
        <w:rPr>
          <w:sz w:val="22"/>
          <w:szCs w:val="22"/>
        </w:rPr>
        <w:t xml:space="preserve">attended the </w:t>
      </w:r>
      <w:r w:rsidR="00FF61E0">
        <w:rPr>
          <w:sz w:val="22"/>
          <w:szCs w:val="22"/>
        </w:rPr>
        <w:t>Fall</w:t>
      </w:r>
      <w:r w:rsidRPr="00925886">
        <w:rPr>
          <w:sz w:val="22"/>
          <w:szCs w:val="22"/>
        </w:rPr>
        <w:t xml:space="preserve"> 2016 plenary meeting of the Academic Senate for California Community Colleges on </w:t>
      </w:r>
      <w:r w:rsidR="000522AD">
        <w:rPr>
          <w:sz w:val="22"/>
          <w:szCs w:val="22"/>
        </w:rPr>
        <w:t>November 3</w:t>
      </w:r>
      <w:r w:rsidR="003E6C1E">
        <w:rPr>
          <w:sz w:val="22"/>
          <w:szCs w:val="22"/>
        </w:rPr>
        <w:t xml:space="preserve"> – 5 in Costa Mesa</w:t>
      </w:r>
      <w:r w:rsidRPr="00925886">
        <w:rPr>
          <w:sz w:val="22"/>
          <w:szCs w:val="22"/>
        </w:rPr>
        <w:t xml:space="preserve">, California. </w:t>
      </w:r>
      <w:r w:rsidR="00526309" w:rsidRPr="00925886">
        <w:rPr>
          <w:sz w:val="22"/>
          <w:szCs w:val="22"/>
        </w:rPr>
        <w:t xml:space="preserve">The full program can be found on the ASCCC </w:t>
      </w:r>
      <w:r w:rsidR="00714530">
        <w:rPr>
          <w:sz w:val="22"/>
          <w:szCs w:val="22"/>
        </w:rPr>
        <w:t>fall</w:t>
      </w:r>
      <w:r w:rsidR="008410C9" w:rsidRPr="00925886">
        <w:rPr>
          <w:sz w:val="22"/>
          <w:szCs w:val="22"/>
        </w:rPr>
        <w:t xml:space="preserve"> 2016 </w:t>
      </w:r>
      <w:hyperlink r:id="rId6" w:history="1">
        <w:r w:rsidR="00526309" w:rsidRPr="000C1B7B">
          <w:rPr>
            <w:rStyle w:val="Hyperlink"/>
            <w:sz w:val="22"/>
            <w:szCs w:val="22"/>
          </w:rPr>
          <w:t xml:space="preserve">plenary </w:t>
        </w:r>
        <w:r w:rsidR="004417E2" w:rsidRPr="000C1B7B">
          <w:rPr>
            <w:rStyle w:val="Hyperlink"/>
            <w:sz w:val="22"/>
            <w:szCs w:val="22"/>
          </w:rPr>
          <w:t>meeting web page</w:t>
        </w:r>
      </w:hyperlink>
      <w:r w:rsidR="004417E2" w:rsidRPr="00925886">
        <w:rPr>
          <w:sz w:val="22"/>
          <w:szCs w:val="22"/>
        </w:rPr>
        <w:t xml:space="preserve"> and a </w:t>
      </w:r>
      <w:hyperlink r:id="rId7" w:history="1">
        <w:r w:rsidR="004417E2" w:rsidRPr="00925886">
          <w:rPr>
            <w:rStyle w:val="Hyperlink"/>
            <w:sz w:val="22"/>
            <w:szCs w:val="22"/>
          </w:rPr>
          <w:t>PDF version</w:t>
        </w:r>
      </w:hyperlink>
      <w:r w:rsidR="004417E2" w:rsidRPr="00925886">
        <w:rPr>
          <w:sz w:val="22"/>
          <w:szCs w:val="22"/>
        </w:rPr>
        <w:t xml:space="preserve"> is also available.</w:t>
      </w:r>
      <w:r w:rsidR="008D26C6" w:rsidRPr="00925886">
        <w:rPr>
          <w:sz w:val="22"/>
          <w:szCs w:val="22"/>
        </w:rPr>
        <w:t xml:space="preserve"> </w:t>
      </w:r>
    </w:p>
    <w:p w14:paraId="33157EA1" w14:textId="77777777" w:rsidR="00C0149B" w:rsidRDefault="00C0149B">
      <w:pPr>
        <w:rPr>
          <w:sz w:val="22"/>
          <w:szCs w:val="22"/>
        </w:rPr>
      </w:pPr>
    </w:p>
    <w:p w14:paraId="7ADB85BD" w14:textId="7806F22A" w:rsidR="005178A7" w:rsidRPr="00925886" w:rsidRDefault="004F1677">
      <w:pPr>
        <w:rPr>
          <w:sz w:val="22"/>
          <w:szCs w:val="22"/>
        </w:rPr>
      </w:pPr>
      <w:r w:rsidRPr="00925886">
        <w:rPr>
          <w:sz w:val="22"/>
          <w:szCs w:val="22"/>
        </w:rPr>
        <w:t xml:space="preserve">Holcroft served as </w:t>
      </w:r>
      <w:r w:rsidR="00B21FCC">
        <w:rPr>
          <w:sz w:val="22"/>
          <w:szCs w:val="22"/>
        </w:rPr>
        <w:t>the</w:t>
      </w:r>
      <w:r w:rsidRPr="00925886">
        <w:rPr>
          <w:sz w:val="22"/>
          <w:szCs w:val="22"/>
        </w:rPr>
        <w:t xml:space="preserve"> </w:t>
      </w:r>
      <w:r w:rsidR="00B21FCC">
        <w:rPr>
          <w:sz w:val="22"/>
          <w:szCs w:val="22"/>
        </w:rPr>
        <w:t xml:space="preserve">official </w:t>
      </w:r>
      <w:r w:rsidRPr="00925886">
        <w:rPr>
          <w:sz w:val="22"/>
          <w:szCs w:val="22"/>
        </w:rPr>
        <w:t xml:space="preserve">Foothill College academic </w:t>
      </w:r>
      <w:r w:rsidR="00F977A9" w:rsidRPr="00925886">
        <w:rPr>
          <w:sz w:val="22"/>
          <w:szCs w:val="22"/>
        </w:rPr>
        <w:t xml:space="preserve">senate </w:t>
      </w:r>
      <w:r w:rsidR="00175C51">
        <w:rPr>
          <w:sz w:val="22"/>
          <w:szCs w:val="22"/>
        </w:rPr>
        <w:t xml:space="preserve">voting </w:t>
      </w:r>
      <w:r w:rsidR="00F977A9" w:rsidRPr="00925886">
        <w:rPr>
          <w:sz w:val="22"/>
          <w:szCs w:val="22"/>
        </w:rPr>
        <w:t>delegate</w:t>
      </w:r>
      <w:r w:rsidR="009D184E">
        <w:rPr>
          <w:sz w:val="22"/>
          <w:szCs w:val="22"/>
        </w:rPr>
        <w:t xml:space="preserve"> and Escoto</w:t>
      </w:r>
      <w:r w:rsidR="00F977A9" w:rsidRPr="00925886">
        <w:rPr>
          <w:sz w:val="22"/>
          <w:szCs w:val="22"/>
        </w:rPr>
        <w:t xml:space="preserve"> </w:t>
      </w:r>
      <w:r w:rsidR="009D184E">
        <w:rPr>
          <w:sz w:val="22"/>
          <w:szCs w:val="22"/>
        </w:rPr>
        <w:t xml:space="preserve">was our district senate delegate. </w:t>
      </w:r>
      <w:r w:rsidR="003E0B69">
        <w:rPr>
          <w:sz w:val="22"/>
          <w:szCs w:val="22"/>
        </w:rPr>
        <w:t>We</w:t>
      </w:r>
      <w:r w:rsidR="00F977A9" w:rsidRPr="00925886">
        <w:rPr>
          <w:sz w:val="22"/>
          <w:szCs w:val="22"/>
        </w:rPr>
        <w:t xml:space="preserve"> </w:t>
      </w:r>
      <w:r w:rsidR="003E0B69">
        <w:rPr>
          <w:sz w:val="22"/>
          <w:szCs w:val="22"/>
        </w:rPr>
        <w:t>were</w:t>
      </w:r>
      <w:r w:rsidR="00F977A9" w:rsidRPr="00925886">
        <w:rPr>
          <w:sz w:val="22"/>
          <w:szCs w:val="22"/>
        </w:rPr>
        <w:t xml:space="preserve"> in close consultation with De Anza College academic senate delegate </w:t>
      </w:r>
      <w:r w:rsidR="003E0B69">
        <w:rPr>
          <w:sz w:val="22"/>
          <w:szCs w:val="22"/>
        </w:rPr>
        <w:t>Jim Nguyen</w:t>
      </w:r>
      <w:r w:rsidR="00F977A9" w:rsidRPr="00925886">
        <w:rPr>
          <w:sz w:val="22"/>
          <w:szCs w:val="22"/>
        </w:rPr>
        <w:t xml:space="preserve"> through</w:t>
      </w:r>
      <w:r w:rsidR="005D6E78" w:rsidRPr="00925886">
        <w:rPr>
          <w:sz w:val="22"/>
          <w:szCs w:val="22"/>
        </w:rPr>
        <w:t>ou</w:t>
      </w:r>
      <w:r w:rsidR="00F977A9" w:rsidRPr="00925886">
        <w:rPr>
          <w:sz w:val="22"/>
          <w:szCs w:val="22"/>
        </w:rPr>
        <w:t>t the voting</w:t>
      </w:r>
      <w:r w:rsidR="00C405B4">
        <w:rPr>
          <w:sz w:val="22"/>
          <w:szCs w:val="22"/>
        </w:rPr>
        <w:t xml:space="preserve"> procedures</w:t>
      </w:r>
      <w:r w:rsidR="00F977A9" w:rsidRPr="00925886">
        <w:rPr>
          <w:sz w:val="22"/>
          <w:szCs w:val="22"/>
        </w:rPr>
        <w:t>.</w:t>
      </w:r>
      <w:r w:rsidR="00A32FA0" w:rsidRPr="00925886">
        <w:rPr>
          <w:sz w:val="22"/>
          <w:szCs w:val="22"/>
        </w:rPr>
        <w:t xml:space="preserve"> </w:t>
      </w:r>
      <w:r w:rsidR="000B18F9" w:rsidRPr="00925886">
        <w:rPr>
          <w:sz w:val="22"/>
          <w:szCs w:val="22"/>
        </w:rPr>
        <w:t>Paul Setziol (De Anza academic senate secretar</w:t>
      </w:r>
      <w:r w:rsidR="004C4E2E" w:rsidRPr="00925886">
        <w:rPr>
          <w:sz w:val="22"/>
          <w:szCs w:val="22"/>
        </w:rPr>
        <w:t xml:space="preserve">y/treasurer) </w:t>
      </w:r>
      <w:r w:rsidR="003E5D34">
        <w:rPr>
          <w:sz w:val="22"/>
          <w:szCs w:val="22"/>
        </w:rPr>
        <w:t>was</w:t>
      </w:r>
      <w:r w:rsidR="004C4E2E" w:rsidRPr="00925886">
        <w:rPr>
          <w:sz w:val="22"/>
          <w:szCs w:val="22"/>
        </w:rPr>
        <w:t xml:space="preserve"> also present.</w:t>
      </w:r>
      <w:r w:rsidR="00AB5246" w:rsidRPr="00925886">
        <w:rPr>
          <w:sz w:val="22"/>
          <w:szCs w:val="22"/>
        </w:rPr>
        <w:t xml:space="preserve"> </w:t>
      </w:r>
    </w:p>
    <w:p w14:paraId="5CEC3269" w14:textId="77777777" w:rsidR="005178A7" w:rsidRPr="00925886" w:rsidRDefault="005178A7">
      <w:pPr>
        <w:rPr>
          <w:sz w:val="22"/>
          <w:szCs w:val="22"/>
        </w:rPr>
      </w:pPr>
    </w:p>
    <w:p w14:paraId="25B922F8" w14:textId="541C25E5" w:rsidR="008D26C6" w:rsidRPr="00925886" w:rsidRDefault="002C71FC">
      <w:pPr>
        <w:rPr>
          <w:sz w:val="22"/>
          <w:szCs w:val="22"/>
        </w:rPr>
      </w:pPr>
      <w:r w:rsidRPr="00925886">
        <w:rPr>
          <w:sz w:val="22"/>
          <w:szCs w:val="22"/>
        </w:rPr>
        <w:t xml:space="preserve">The final packet of resolutions for consideration on Saturday may be accessed at </w:t>
      </w:r>
      <w:hyperlink r:id="rId8" w:history="1">
        <w:r w:rsidRPr="00925886">
          <w:rPr>
            <w:rStyle w:val="Hyperlink"/>
            <w:sz w:val="22"/>
            <w:szCs w:val="22"/>
          </w:rPr>
          <w:t>ASCCC Saturday resolutions packet</w:t>
        </w:r>
      </w:hyperlink>
      <w:r w:rsidRPr="00925886">
        <w:rPr>
          <w:sz w:val="22"/>
          <w:szCs w:val="22"/>
        </w:rPr>
        <w:t xml:space="preserve">. </w:t>
      </w:r>
      <w:r w:rsidR="00AB5246" w:rsidRPr="00925886">
        <w:rPr>
          <w:sz w:val="22"/>
          <w:szCs w:val="22"/>
        </w:rPr>
        <w:t xml:space="preserve">Holcroft will distribute the final packet of </w:t>
      </w:r>
      <w:r w:rsidR="00AB5246" w:rsidRPr="00925886">
        <w:rPr>
          <w:sz w:val="22"/>
          <w:szCs w:val="22"/>
          <w:u w:val="single"/>
        </w:rPr>
        <w:t>adopted</w:t>
      </w:r>
      <w:r w:rsidR="00AB5246" w:rsidRPr="00925886">
        <w:rPr>
          <w:sz w:val="22"/>
          <w:szCs w:val="22"/>
        </w:rPr>
        <w:t xml:space="preserve"> resolutions as soon as it is published by ASCCC.</w:t>
      </w:r>
      <w:r w:rsidR="00B20293" w:rsidRPr="00925886">
        <w:rPr>
          <w:sz w:val="22"/>
          <w:szCs w:val="22"/>
        </w:rPr>
        <w:t xml:space="preserve"> In the meantime, </w:t>
      </w:r>
      <w:r w:rsidR="00B20293" w:rsidRPr="00C9192F">
        <w:rPr>
          <w:i/>
          <w:sz w:val="22"/>
          <w:szCs w:val="22"/>
        </w:rPr>
        <w:t>several adopted resolutio</w:t>
      </w:r>
      <w:r w:rsidR="00D1239D" w:rsidRPr="00C9192F">
        <w:rPr>
          <w:i/>
          <w:sz w:val="22"/>
          <w:szCs w:val="22"/>
        </w:rPr>
        <w:t xml:space="preserve">ns </w:t>
      </w:r>
      <w:r w:rsidR="007F2EB4" w:rsidRPr="00C9192F">
        <w:rPr>
          <w:i/>
          <w:sz w:val="22"/>
          <w:szCs w:val="22"/>
        </w:rPr>
        <w:t>included</w:t>
      </w:r>
      <w:r w:rsidR="00D1239D" w:rsidRPr="00C9192F">
        <w:rPr>
          <w:i/>
          <w:sz w:val="22"/>
          <w:szCs w:val="22"/>
        </w:rPr>
        <w:t xml:space="preserve"> recommendations requiring immediate </w:t>
      </w:r>
      <w:r w:rsidR="00B20293" w:rsidRPr="00C9192F">
        <w:rPr>
          <w:i/>
          <w:sz w:val="22"/>
          <w:szCs w:val="22"/>
        </w:rPr>
        <w:t xml:space="preserve">local senate </w:t>
      </w:r>
      <w:r w:rsidR="00D1239D" w:rsidRPr="00C9192F">
        <w:rPr>
          <w:i/>
          <w:sz w:val="22"/>
          <w:szCs w:val="22"/>
        </w:rPr>
        <w:t>attention/</w:t>
      </w:r>
      <w:r w:rsidR="00B20293" w:rsidRPr="00C9192F">
        <w:rPr>
          <w:i/>
          <w:sz w:val="22"/>
          <w:szCs w:val="22"/>
        </w:rPr>
        <w:t>action</w:t>
      </w:r>
      <w:r w:rsidR="00B20293" w:rsidRPr="00925886">
        <w:rPr>
          <w:sz w:val="22"/>
          <w:szCs w:val="22"/>
        </w:rPr>
        <w:t xml:space="preserve">. </w:t>
      </w:r>
      <w:r w:rsidR="00554886" w:rsidRPr="00925886">
        <w:rPr>
          <w:sz w:val="22"/>
          <w:szCs w:val="22"/>
        </w:rPr>
        <w:t>These</w:t>
      </w:r>
      <w:r w:rsidR="005A2E70" w:rsidRPr="00925886">
        <w:rPr>
          <w:sz w:val="22"/>
          <w:szCs w:val="22"/>
        </w:rPr>
        <w:t xml:space="preserve"> directives</w:t>
      </w:r>
      <w:r w:rsidR="00554886" w:rsidRPr="00925886">
        <w:rPr>
          <w:sz w:val="22"/>
          <w:szCs w:val="22"/>
        </w:rPr>
        <w:t xml:space="preserve"> are listed below. </w:t>
      </w:r>
    </w:p>
    <w:p w14:paraId="0AD59347" w14:textId="77777777" w:rsidR="00AE2834" w:rsidRPr="00925886" w:rsidRDefault="00AE2834">
      <w:pPr>
        <w:rPr>
          <w:sz w:val="22"/>
          <w:szCs w:val="22"/>
        </w:rPr>
      </w:pPr>
    </w:p>
    <w:p w14:paraId="2C2E63E5" w14:textId="77777777" w:rsidR="00524950" w:rsidRDefault="00524950" w:rsidP="00524950">
      <w:pPr>
        <w:spacing w:after="120"/>
        <w:ind w:left="720"/>
        <w:rPr>
          <w:rFonts w:cs="Times New Roman"/>
          <w:sz w:val="22"/>
          <w:szCs w:val="22"/>
        </w:rPr>
      </w:pPr>
      <w:r w:rsidRPr="00925886">
        <w:rPr>
          <w:b/>
          <w:sz w:val="22"/>
          <w:szCs w:val="22"/>
        </w:rPr>
        <w:t>9.0</w:t>
      </w:r>
      <w:r>
        <w:rPr>
          <w:b/>
          <w:sz w:val="22"/>
          <w:szCs w:val="22"/>
        </w:rPr>
        <w:t>2</w:t>
      </w:r>
      <w:r w:rsidRPr="00925886">
        <w:rPr>
          <w:b/>
          <w:sz w:val="22"/>
          <w:szCs w:val="22"/>
        </w:rPr>
        <w:t xml:space="preserve"> </w:t>
      </w:r>
      <w:r>
        <w:rPr>
          <w:b/>
          <w:sz w:val="22"/>
          <w:szCs w:val="22"/>
        </w:rPr>
        <w:t>F</w:t>
      </w:r>
      <w:r w:rsidRPr="00925886">
        <w:rPr>
          <w:b/>
          <w:sz w:val="22"/>
          <w:szCs w:val="22"/>
        </w:rPr>
        <w:t>16</w:t>
      </w:r>
      <w:r w:rsidRPr="00925886">
        <w:rPr>
          <w:sz w:val="22"/>
          <w:szCs w:val="22"/>
        </w:rPr>
        <w:t xml:space="preserve"> </w:t>
      </w:r>
      <w:r w:rsidRPr="006D78EF">
        <w:rPr>
          <w:rFonts w:cs="Times New Roman"/>
          <w:b/>
          <w:sz w:val="22"/>
          <w:szCs w:val="22"/>
        </w:rPr>
        <w:t>Faculty Involvement in the Creation of Dual Enrollment Programs</w:t>
      </w:r>
    </w:p>
    <w:p w14:paraId="0ABB179E" w14:textId="77777777" w:rsidR="00524950" w:rsidRDefault="00524950" w:rsidP="00524950">
      <w:pPr>
        <w:spacing w:after="120"/>
        <w:ind w:left="720"/>
        <w:rPr>
          <w:rFonts w:cs="Times New Roman"/>
          <w:sz w:val="22"/>
          <w:szCs w:val="22"/>
        </w:rPr>
      </w:pPr>
      <w:r>
        <w:rPr>
          <w:rFonts w:cs="Times New Roman"/>
          <w:sz w:val="22"/>
          <w:szCs w:val="22"/>
        </w:rPr>
        <w:t xml:space="preserve">Resolved, that the ASCCC urge local senates engage in discussions with their administrations to assure that the development and implementation of dual enrollment programs occur with endorsement through collegial consultation with the academic senate; </w:t>
      </w:r>
    </w:p>
    <w:p w14:paraId="4685D08E" w14:textId="77777777" w:rsidR="00524950" w:rsidRDefault="00524950" w:rsidP="00524950">
      <w:pPr>
        <w:spacing w:after="120"/>
        <w:ind w:left="720"/>
        <w:rPr>
          <w:rFonts w:cs="Times New Roman"/>
          <w:sz w:val="22"/>
          <w:szCs w:val="22"/>
        </w:rPr>
      </w:pPr>
      <w:r>
        <w:rPr>
          <w:rFonts w:cs="Times New Roman"/>
          <w:sz w:val="22"/>
          <w:szCs w:val="22"/>
        </w:rPr>
        <w:t xml:space="preserve">Resolved, that the ASCCC urge local senates to consult with their administrations to assure dual enrollment course offerings are within the capacity of the college to maintain without adversely affecting local programs; </w:t>
      </w:r>
    </w:p>
    <w:p w14:paraId="169EAE5B" w14:textId="39C70A6A" w:rsidR="00524950" w:rsidRPr="00925886" w:rsidRDefault="00524950" w:rsidP="00524950">
      <w:pPr>
        <w:spacing w:after="120"/>
        <w:ind w:left="1440"/>
        <w:rPr>
          <w:sz w:val="22"/>
          <w:szCs w:val="22"/>
        </w:rPr>
      </w:pPr>
      <w:r w:rsidRPr="00925886">
        <w:rPr>
          <w:b/>
          <w:color w:val="C00000"/>
          <w:sz w:val="22"/>
          <w:szCs w:val="22"/>
        </w:rPr>
        <w:t>Recommended action</w:t>
      </w:r>
      <w:r>
        <w:rPr>
          <w:b/>
          <w:color w:val="C00000"/>
          <w:sz w:val="22"/>
          <w:szCs w:val="22"/>
        </w:rPr>
        <w:t>(s)</w:t>
      </w:r>
      <w:r w:rsidRPr="00925886">
        <w:rPr>
          <w:sz w:val="22"/>
          <w:szCs w:val="22"/>
        </w:rPr>
        <w:t xml:space="preserve">: </w:t>
      </w:r>
      <w:r>
        <w:rPr>
          <w:sz w:val="22"/>
          <w:szCs w:val="22"/>
        </w:rPr>
        <w:t>Escoto</w:t>
      </w:r>
      <w:r w:rsidR="00FF2123">
        <w:rPr>
          <w:sz w:val="22"/>
          <w:szCs w:val="22"/>
        </w:rPr>
        <w:t xml:space="preserve"> and Holcroft</w:t>
      </w:r>
      <w:r>
        <w:rPr>
          <w:sz w:val="22"/>
          <w:szCs w:val="22"/>
        </w:rPr>
        <w:t xml:space="preserve"> to </w:t>
      </w:r>
      <w:r w:rsidR="00FF2123">
        <w:rPr>
          <w:sz w:val="22"/>
          <w:szCs w:val="22"/>
        </w:rPr>
        <w:t>continue</w:t>
      </w:r>
      <w:r w:rsidR="00D85771">
        <w:rPr>
          <w:sz w:val="22"/>
          <w:szCs w:val="22"/>
        </w:rPr>
        <w:t xml:space="preserve"> discussion of the District’s Policy and Procedures for Dual Enrollment in Academic and Professional Matters committee</w:t>
      </w:r>
      <w:r w:rsidR="00CD60AB">
        <w:rPr>
          <w:sz w:val="22"/>
          <w:szCs w:val="22"/>
        </w:rPr>
        <w:t xml:space="preserve"> (last discussed 5/13/16)</w:t>
      </w:r>
      <w:bookmarkStart w:id="0" w:name="_GoBack"/>
      <w:bookmarkEnd w:id="0"/>
      <w:r>
        <w:rPr>
          <w:sz w:val="22"/>
          <w:szCs w:val="22"/>
        </w:rPr>
        <w:t>.</w:t>
      </w:r>
    </w:p>
    <w:p w14:paraId="60939992" w14:textId="77777777" w:rsidR="00524950" w:rsidRDefault="00524950" w:rsidP="006A1C21">
      <w:pPr>
        <w:spacing w:after="120"/>
        <w:ind w:left="720"/>
        <w:rPr>
          <w:b/>
          <w:sz w:val="22"/>
          <w:szCs w:val="22"/>
        </w:rPr>
      </w:pPr>
    </w:p>
    <w:p w14:paraId="1512F067" w14:textId="77777777" w:rsidR="00993757" w:rsidRDefault="001D6476" w:rsidP="006A1C21">
      <w:pPr>
        <w:spacing w:after="120"/>
        <w:ind w:left="720"/>
        <w:rPr>
          <w:sz w:val="22"/>
          <w:szCs w:val="22"/>
        </w:rPr>
      </w:pPr>
      <w:r>
        <w:rPr>
          <w:b/>
          <w:sz w:val="22"/>
          <w:szCs w:val="22"/>
        </w:rPr>
        <w:t>12.01</w:t>
      </w:r>
      <w:r w:rsidR="00591F71" w:rsidRPr="00925886">
        <w:rPr>
          <w:b/>
          <w:sz w:val="22"/>
          <w:szCs w:val="22"/>
        </w:rPr>
        <w:t xml:space="preserve"> </w:t>
      </w:r>
      <w:r>
        <w:rPr>
          <w:b/>
          <w:sz w:val="22"/>
          <w:szCs w:val="22"/>
        </w:rPr>
        <w:t>F</w:t>
      </w:r>
      <w:r w:rsidR="006803DF" w:rsidRPr="00925886">
        <w:rPr>
          <w:b/>
          <w:sz w:val="22"/>
          <w:szCs w:val="22"/>
        </w:rPr>
        <w:t xml:space="preserve">16 </w:t>
      </w:r>
      <w:r w:rsidR="00B338FC">
        <w:rPr>
          <w:b/>
          <w:sz w:val="22"/>
          <w:szCs w:val="22"/>
        </w:rPr>
        <w:t>Include Professional Learning Network (PLN) Resources to Satisfy Flex Requirements</w:t>
      </w:r>
      <w:r w:rsidR="006803DF" w:rsidRPr="00925886">
        <w:rPr>
          <w:sz w:val="22"/>
          <w:szCs w:val="22"/>
        </w:rPr>
        <w:t xml:space="preserve"> </w:t>
      </w:r>
    </w:p>
    <w:p w14:paraId="473FDCE4" w14:textId="129D4C87" w:rsidR="00AE2834" w:rsidRPr="00925886" w:rsidRDefault="00262268" w:rsidP="006A1C21">
      <w:pPr>
        <w:spacing w:after="120"/>
        <w:ind w:left="720"/>
        <w:rPr>
          <w:sz w:val="22"/>
          <w:szCs w:val="22"/>
        </w:rPr>
      </w:pPr>
      <w:r w:rsidRPr="00925886">
        <w:rPr>
          <w:sz w:val="22"/>
          <w:szCs w:val="22"/>
        </w:rPr>
        <w:t xml:space="preserve">Resolved, that the </w:t>
      </w:r>
      <w:r w:rsidR="001062C5" w:rsidRPr="00925886">
        <w:rPr>
          <w:sz w:val="22"/>
          <w:szCs w:val="22"/>
        </w:rPr>
        <w:t>ASCCC</w:t>
      </w:r>
      <w:r w:rsidRPr="00925886">
        <w:rPr>
          <w:sz w:val="22"/>
          <w:szCs w:val="22"/>
        </w:rPr>
        <w:t xml:space="preserve"> urge local senates to </w:t>
      </w:r>
      <w:r w:rsidR="00BB1D6B">
        <w:rPr>
          <w:sz w:val="22"/>
          <w:szCs w:val="22"/>
        </w:rPr>
        <w:t>work through their local process to consider allowing faculty to use professional development activities available through the Professional Learning Network (PLN) to satisfy their required Flex obligation</w:t>
      </w:r>
      <w:r w:rsidRPr="00925886">
        <w:rPr>
          <w:sz w:val="22"/>
          <w:szCs w:val="22"/>
        </w:rPr>
        <w:t>.</w:t>
      </w:r>
    </w:p>
    <w:p w14:paraId="0B89C517" w14:textId="56C675A4" w:rsidR="001E4E17" w:rsidRPr="00925886" w:rsidRDefault="00747497" w:rsidP="00945E08">
      <w:pPr>
        <w:spacing w:after="120"/>
        <w:ind w:left="1440"/>
        <w:rPr>
          <w:sz w:val="22"/>
          <w:szCs w:val="22"/>
        </w:rPr>
      </w:pPr>
      <w:r w:rsidRPr="00925886">
        <w:rPr>
          <w:b/>
          <w:color w:val="C00000"/>
          <w:sz w:val="22"/>
          <w:szCs w:val="22"/>
        </w:rPr>
        <w:t>Recommended action</w:t>
      </w:r>
      <w:r w:rsidR="00DB3249">
        <w:rPr>
          <w:b/>
          <w:color w:val="C00000"/>
          <w:sz w:val="22"/>
          <w:szCs w:val="22"/>
        </w:rPr>
        <w:t>(s)</w:t>
      </w:r>
      <w:r w:rsidRPr="00925886">
        <w:rPr>
          <w:sz w:val="22"/>
          <w:szCs w:val="22"/>
        </w:rPr>
        <w:t xml:space="preserve">: </w:t>
      </w:r>
      <w:r w:rsidR="00AA2E4E">
        <w:rPr>
          <w:sz w:val="22"/>
          <w:szCs w:val="22"/>
        </w:rPr>
        <w:t>Officers to consult with our academic senate representatives on the Professional Development Committee</w:t>
      </w:r>
      <w:r w:rsidR="00925C4E">
        <w:rPr>
          <w:sz w:val="22"/>
          <w:szCs w:val="22"/>
        </w:rPr>
        <w:t xml:space="preserve"> and report back</w:t>
      </w:r>
      <w:r w:rsidR="00AA2E4E">
        <w:rPr>
          <w:sz w:val="22"/>
          <w:szCs w:val="22"/>
        </w:rPr>
        <w:t xml:space="preserve"> </w:t>
      </w:r>
      <w:r w:rsidRPr="00925886">
        <w:rPr>
          <w:sz w:val="22"/>
          <w:szCs w:val="22"/>
        </w:rPr>
        <w:t xml:space="preserve">at an upcoming </w:t>
      </w:r>
      <w:r w:rsidR="00587259">
        <w:rPr>
          <w:sz w:val="22"/>
          <w:szCs w:val="22"/>
        </w:rPr>
        <w:t xml:space="preserve">academic </w:t>
      </w:r>
      <w:r w:rsidRPr="00925886">
        <w:rPr>
          <w:sz w:val="22"/>
          <w:szCs w:val="22"/>
        </w:rPr>
        <w:t>senate meeting</w:t>
      </w:r>
      <w:r w:rsidR="00B65EE9">
        <w:rPr>
          <w:sz w:val="22"/>
          <w:szCs w:val="22"/>
        </w:rPr>
        <w:t>.</w:t>
      </w:r>
      <w:r w:rsidR="00993757">
        <w:rPr>
          <w:sz w:val="22"/>
          <w:szCs w:val="22"/>
        </w:rPr>
        <w:br/>
      </w:r>
    </w:p>
    <w:p w14:paraId="1EF93274" w14:textId="77777777" w:rsidR="00993757" w:rsidRDefault="009E02F0" w:rsidP="00047A51">
      <w:pPr>
        <w:spacing w:after="120"/>
        <w:ind w:left="720"/>
        <w:rPr>
          <w:sz w:val="22"/>
          <w:szCs w:val="22"/>
        </w:rPr>
      </w:pPr>
      <w:r>
        <w:rPr>
          <w:b/>
          <w:sz w:val="22"/>
          <w:szCs w:val="22"/>
        </w:rPr>
        <w:t>15</w:t>
      </w:r>
      <w:r w:rsidR="00E11244" w:rsidRPr="00925886">
        <w:rPr>
          <w:b/>
          <w:sz w:val="22"/>
          <w:szCs w:val="22"/>
        </w:rPr>
        <w:t>.01</w:t>
      </w:r>
      <w:r>
        <w:rPr>
          <w:b/>
          <w:sz w:val="22"/>
          <w:szCs w:val="22"/>
        </w:rPr>
        <w:t xml:space="preserve"> F</w:t>
      </w:r>
      <w:r w:rsidR="00B0438B" w:rsidRPr="00925886">
        <w:rPr>
          <w:b/>
          <w:sz w:val="22"/>
          <w:szCs w:val="22"/>
        </w:rPr>
        <w:t xml:space="preserve">16 </w:t>
      </w:r>
      <w:r w:rsidRPr="009E02F0">
        <w:rPr>
          <w:b/>
          <w:sz w:val="22"/>
          <w:szCs w:val="22"/>
        </w:rPr>
        <w:t>California State University Quantitative Reasoning Task Force Report</w:t>
      </w:r>
      <w:r w:rsidR="006830BD" w:rsidRPr="00925886">
        <w:rPr>
          <w:sz w:val="22"/>
          <w:szCs w:val="22"/>
        </w:rPr>
        <w:t xml:space="preserve">. </w:t>
      </w:r>
    </w:p>
    <w:p w14:paraId="3AC6AC4F" w14:textId="77777777" w:rsidR="00210D59" w:rsidRDefault="00A47919" w:rsidP="00047A51">
      <w:pPr>
        <w:spacing w:after="120"/>
        <w:ind w:left="720"/>
        <w:rPr>
          <w:rFonts w:cs="Times New Roman"/>
          <w:sz w:val="22"/>
          <w:szCs w:val="22"/>
        </w:rPr>
      </w:pPr>
      <w:r w:rsidRPr="00925886">
        <w:rPr>
          <w:rFonts w:cs="Times New Roman"/>
          <w:sz w:val="22"/>
          <w:szCs w:val="22"/>
        </w:rPr>
        <w:t xml:space="preserve">Resolved, That the </w:t>
      </w:r>
      <w:r w:rsidR="001062C5" w:rsidRPr="00925886">
        <w:rPr>
          <w:rFonts w:cs="Times New Roman"/>
          <w:sz w:val="22"/>
          <w:szCs w:val="22"/>
        </w:rPr>
        <w:t>ASCCC</w:t>
      </w:r>
      <w:r w:rsidRPr="00925886">
        <w:rPr>
          <w:rFonts w:cs="Times New Roman"/>
          <w:sz w:val="22"/>
          <w:szCs w:val="22"/>
        </w:rPr>
        <w:t xml:space="preserve"> </w:t>
      </w:r>
      <w:r w:rsidR="00AB77E5">
        <w:rPr>
          <w:rFonts w:cs="Times New Roman"/>
          <w:sz w:val="22"/>
          <w:szCs w:val="22"/>
        </w:rPr>
        <w:t>urge local academic senates and curriculum committees to disseminate the</w:t>
      </w:r>
      <w:r w:rsidRPr="00925886">
        <w:rPr>
          <w:rFonts w:cs="Times New Roman"/>
          <w:sz w:val="22"/>
          <w:szCs w:val="22"/>
        </w:rPr>
        <w:t xml:space="preserve"> </w:t>
      </w:r>
      <w:r w:rsidR="00AB77E5">
        <w:rPr>
          <w:rFonts w:cs="Times New Roman"/>
          <w:i/>
          <w:sz w:val="22"/>
          <w:szCs w:val="22"/>
        </w:rPr>
        <w:t xml:space="preserve">Academic Senate of the California State University Quantitative Reasoning Task Force </w:t>
      </w:r>
      <w:r w:rsidR="00AB77E5" w:rsidRPr="007970F7">
        <w:rPr>
          <w:rFonts w:cs="Times New Roman"/>
          <w:i/>
          <w:sz w:val="22"/>
          <w:szCs w:val="22"/>
        </w:rPr>
        <w:t>Repor</w:t>
      </w:r>
      <w:r w:rsidR="00C57D0D" w:rsidRPr="007970F7">
        <w:rPr>
          <w:rFonts w:cs="Times New Roman"/>
          <w:i/>
          <w:sz w:val="22"/>
          <w:szCs w:val="22"/>
        </w:rPr>
        <w:t>t</w:t>
      </w:r>
      <w:r w:rsidR="008E612D">
        <w:rPr>
          <w:rFonts w:cs="Times New Roman"/>
          <w:sz w:val="22"/>
          <w:szCs w:val="22"/>
        </w:rPr>
        <w:t xml:space="preserve"> and to respond to them in ways </w:t>
      </w:r>
      <w:r w:rsidR="006043A3">
        <w:rPr>
          <w:rFonts w:cs="Times New Roman"/>
          <w:sz w:val="22"/>
          <w:szCs w:val="22"/>
        </w:rPr>
        <w:t>they deem appropriate</w:t>
      </w:r>
      <w:r w:rsidR="00AB77E5">
        <w:rPr>
          <w:rFonts w:cs="Times New Roman"/>
          <w:sz w:val="22"/>
          <w:szCs w:val="22"/>
        </w:rPr>
        <w:t xml:space="preserve">; and </w:t>
      </w:r>
    </w:p>
    <w:p w14:paraId="12B1AF50" w14:textId="72CD2CC3" w:rsidR="00A47919" w:rsidRPr="00925886" w:rsidRDefault="00856343" w:rsidP="00047A51">
      <w:pPr>
        <w:spacing w:after="120"/>
        <w:ind w:left="720"/>
        <w:rPr>
          <w:rFonts w:ascii="Times New Roman" w:hAnsi="Times New Roman" w:cs="Times New Roman"/>
          <w:sz w:val="22"/>
          <w:szCs w:val="22"/>
        </w:rPr>
      </w:pPr>
      <w:r>
        <w:rPr>
          <w:rFonts w:cs="Times New Roman"/>
          <w:sz w:val="22"/>
          <w:szCs w:val="22"/>
        </w:rPr>
        <w:t xml:space="preserve">Resolved, </w:t>
      </w:r>
      <w:r w:rsidR="00E50F09">
        <w:rPr>
          <w:rFonts w:cs="Times New Roman"/>
          <w:sz w:val="22"/>
          <w:szCs w:val="22"/>
        </w:rPr>
        <w:t xml:space="preserve">the ASCCC consult with local senates, discipline faculty, and other appropriate constituencies to determine an appropriate response to the </w:t>
      </w:r>
      <w:r w:rsidR="00866430">
        <w:rPr>
          <w:rFonts w:cs="Times New Roman"/>
          <w:i/>
          <w:sz w:val="22"/>
          <w:szCs w:val="22"/>
        </w:rPr>
        <w:t xml:space="preserve">Academic Senate of the California State University Quantitative Reasoning Task Force </w:t>
      </w:r>
      <w:r w:rsidR="00866430" w:rsidRPr="007970F7">
        <w:rPr>
          <w:rFonts w:cs="Times New Roman"/>
          <w:i/>
          <w:sz w:val="22"/>
          <w:szCs w:val="22"/>
        </w:rPr>
        <w:t>Report</w:t>
      </w:r>
    </w:p>
    <w:p w14:paraId="7389ECA0" w14:textId="58A84F2D" w:rsidR="00E11244" w:rsidRPr="00925886" w:rsidRDefault="00047A51" w:rsidP="00524950">
      <w:pPr>
        <w:spacing w:after="120"/>
        <w:ind w:left="1440" w:hanging="720"/>
        <w:rPr>
          <w:sz w:val="22"/>
          <w:szCs w:val="22"/>
        </w:rPr>
      </w:pPr>
      <w:r w:rsidRPr="00925886">
        <w:rPr>
          <w:b/>
          <w:sz w:val="22"/>
          <w:szCs w:val="22"/>
        </w:rPr>
        <w:tab/>
      </w:r>
      <w:r w:rsidRPr="00925886">
        <w:rPr>
          <w:b/>
          <w:color w:val="C00000"/>
          <w:sz w:val="22"/>
          <w:szCs w:val="22"/>
        </w:rPr>
        <w:t>Recommended action</w:t>
      </w:r>
      <w:r w:rsidR="00204805">
        <w:rPr>
          <w:b/>
          <w:color w:val="C00000"/>
          <w:sz w:val="22"/>
          <w:szCs w:val="22"/>
        </w:rPr>
        <w:t>(</w:t>
      </w:r>
      <w:r w:rsidR="00EC270E">
        <w:rPr>
          <w:b/>
          <w:color w:val="C00000"/>
          <w:sz w:val="22"/>
          <w:szCs w:val="22"/>
        </w:rPr>
        <w:t>s</w:t>
      </w:r>
      <w:r w:rsidR="00204805">
        <w:rPr>
          <w:b/>
          <w:color w:val="C00000"/>
          <w:sz w:val="22"/>
          <w:szCs w:val="22"/>
        </w:rPr>
        <w:t>)</w:t>
      </w:r>
      <w:r w:rsidRPr="00925886">
        <w:rPr>
          <w:sz w:val="22"/>
          <w:szCs w:val="22"/>
        </w:rPr>
        <w:t>:</w:t>
      </w:r>
      <w:r w:rsidR="00F6559B">
        <w:rPr>
          <w:sz w:val="22"/>
          <w:szCs w:val="22"/>
        </w:rPr>
        <w:t xml:space="preserve"> </w:t>
      </w:r>
      <w:r w:rsidR="00624E67">
        <w:rPr>
          <w:sz w:val="22"/>
          <w:szCs w:val="22"/>
        </w:rPr>
        <w:t xml:space="preserve">The </w:t>
      </w:r>
      <w:r w:rsidR="00624E67" w:rsidRPr="00B04F7E">
        <w:rPr>
          <w:i/>
          <w:sz w:val="22"/>
          <w:szCs w:val="22"/>
        </w:rPr>
        <w:t>Report</w:t>
      </w:r>
      <w:r w:rsidR="00624E67">
        <w:rPr>
          <w:sz w:val="22"/>
          <w:szCs w:val="22"/>
        </w:rPr>
        <w:t xml:space="preserve"> has already been distributed to our math faculty colleagues an</w:t>
      </w:r>
      <w:r w:rsidR="006034D1">
        <w:rPr>
          <w:sz w:val="22"/>
          <w:szCs w:val="22"/>
        </w:rPr>
        <w:t>d is available on our web page; w</w:t>
      </w:r>
      <w:r w:rsidR="00E1285F">
        <w:rPr>
          <w:sz w:val="22"/>
          <w:szCs w:val="22"/>
        </w:rPr>
        <w:t xml:space="preserve">e encourage consideration of the </w:t>
      </w:r>
      <w:r w:rsidR="00E1285F" w:rsidRPr="00B04F7E">
        <w:rPr>
          <w:i/>
          <w:sz w:val="22"/>
          <w:szCs w:val="22"/>
        </w:rPr>
        <w:t>Report</w:t>
      </w:r>
      <w:r w:rsidR="00E1285F">
        <w:rPr>
          <w:sz w:val="22"/>
          <w:szCs w:val="22"/>
        </w:rPr>
        <w:t xml:space="preserve">, </w:t>
      </w:r>
      <w:r w:rsidR="00E1285F">
        <w:rPr>
          <w:sz w:val="22"/>
          <w:szCs w:val="22"/>
        </w:rPr>
        <w:lastRenderedPageBreak/>
        <w:t>particularly in their discussions of math curriculum revision and creation.</w:t>
      </w:r>
      <w:r w:rsidR="006034D1">
        <w:rPr>
          <w:sz w:val="22"/>
          <w:szCs w:val="22"/>
        </w:rPr>
        <w:t xml:space="preserve"> </w:t>
      </w:r>
      <w:r w:rsidR="00C753C0">
        <w:rPr>
          <w:sz w:val="22"/>
          <w:szCs w:val="22"/>
        </w:rPr>
        <w:t>Officers will also ensure that our math faculty are immediately informed of opportunities to provide in</w:t>
      </w:r>
      <w:r w:rsidR="00744577">
        <w:rPr>
          <w:sz w:val="22"/>
          <w:szCs w:val="22"/>
        </w:rPr>
        <w:t>put to the ASCCC as they craft their</w:t>
      </w:r>
      <w:r w:rsidR="00C753C0">
        <w:rPr>
          <w:sz w:val="22"/>
          <w:szCs w:val="22"/>
        </w:rPr>
        <w:t xml:space="preserve"> response to the CSU’s </w:t>
      </w:r>
      <w:r w:rsidR="00C753C0" w:rsidRPr="00744577">
        <w:rPr>
          <w:i/>
          <w:sz w:val="22"/>
          <w:szCs w:val="22"/>
        </w:rPr>
        <w:t>Report</w:t>
      </w:r>
      <w:r w:rsidR="00C753C0">
        <w:rPr>
          <w:sz w:val="22"/>
          <w:szCs w:val="22"/>
        </w:rPr>
        <w:t>.</w:t>
      </w:r>
    </w:p>
    <w:p w14:paraId="3C054091" w14:textId="7F12C334" w:rsidR="00A30CB9" w:rsidRDefault="00A30CB9" w:rsidP="009A4AF0">
      <w:pPr>
        <w:spacing w:after="120"/>
        <w:rPr>
          <w:rFonts w:cs="Times New Roman"/>
          <w:sz w:val="22"/>
          <w:szCs w:val="22"/>
        </w:rPr>
      </w:pPr>
      <w:r>
        <w:rPr>
          <w:sz w:val="22"/>
          <w:szCs w:val="22"/>
        </w:rPr>
        <w:br/>
      </w:r>
    </w:p>
    <w:p w14:paraId="5F1B6143" w14:textId="63E85A7F" w:rsidR="00183BC9" w:rsidRPr="00925886" w:rsidRDefault="00A91EE6" w:rsidP="00560AE4">
      <w:pPr>
        <w:rPr>
          <w:rFonts w:cs="Times New Roman"/>
          <w:sz w:val="22"/>
          <w:szCs w:val="22"/>
        </w:rPr>
      </w:pPr>
      <w:r>
        <w:rPr>
          <w:rFonts w:cs="Times New Roman"/>
          <w:sz w:val="22"/>
          <w:szCs w:val="22"/>
        </w:rPr>
        <w:t xml:space="preserve">Finally, the ASCCC considered a number of resolutions </w:t>
      </w:r>
      <w:r w:rsidR="00A07CB4">
        <w:rPr>
          <w:rFonts w:cs="Times New Roman"/>
          <w:sz w:val="22"/>
          <w:szCs w:val="22"/>
        </w:rPr>
        <w:t xml:space="preserve">regarding the </w:t>
      </w:r>
      <w:r w:rsidR="00E9777B">
        <w:rPr>
          <w:rFonts w:cs="Times New Roman"/>
          <w:sz w:val="22"/>
          <w:szCs w:val="22"/>
        </w:rPr>
        <w:t xml:space="preserve">Strong Workforce Recommendations. </w:t>
      </w:r>
      <w:r w:rsidR="00D075B9">
        <w:rPr>
          <w:rFonts w:cs="Times New Roman"/>
          <w:sz w:val="22"/>
          <w:szCs w:val="22"/>
        </w:rPr>
        <w:t xml:space="preserve">The authors had not been included in the packet of resolutions for consideration at the area meetings nor in the follow-up packet that came out of the area meetings. </w:t>
      </w:r>
      <w:r w:rsidR="00384958">
        <w:rPr>
          <w:rFonts w:cs="Times New Roman"/>
          <w:sz w:val="22"/>
          <w:szCs w:val="22"/>
        </w:rPr>
        <w:t>Rather, most were</w:t>
      </w:r>
      <w:r w:rsidR="009B5E5A">
        <w:rPr>
          <w:rFonts w:cs="Times New Roman"/>
          <w:sz w:val="22"/>
          <w:szCs w:val="22"/>
        </w:rPr>
        <w:t xml:space="preserve"> first presented to the </w:t>
      </w:r>
      <w:r w:rsidR="00A301D5">
        <w:rPr>
          <w:rFonts w:cs="Times New Roman"/>
          <w:sz w:val="22"/>
          <w:szCs w:val="22"/>
        </w:rPr>
        <w:t>delegates</w:t>
      </w:r>
      <w:r w:rsidR="009B5E5A">
        <w:rPr>
          <w:rFonts w:cs="Times New Roman"/>
          <w:sz w:val="22"/>
          <w:szCs w:val="22"/>
        </w:rPr>
        <w:t xml:space="preserve"> </w:t>
      </w:r>
      <w:r w:rsidR="0086001E">
        <w:rPr>
          <w:rFonts w:cs="Times New Roman"/>
          <w:sz w:val="22"/>
          <w:szCs w:val="22"/>
        </w:rPr>
        <w:t>on Friday morning, November 4, all</w:t>
      </w:r>
      <w:r w:rsidR="00556C52">
        <w:rPr>
          <w:rFonts w:cs="Times New Roman"/>
          <w:sz w:val="22"/>
          <w:szCs w:val="22"/>
        </w:rPr>
        <w:t xml:space="preserve">owing no more than 24 hours </w:t>
      </w:r>
      <w:r w:rsidR="0086001E">
        <w:rPr>
          <w:rFonts w:cs="Times New Roman"/>
          <w:sz w:val="22"/>
          <w:szCs w:val="22"/>
        </w:rPr>
        <w:t>to bring the resolutions to constituents for discussion and feedback</w:t>
      </w:r>
      <w:r w:rsidR="00633E25">
        <w:rPr>
          <w:rStyle w:val="FootnoteReference"/>
          <w:rFonts w:cs="Times New Roman"/>
          <w:sz w:val="22"/>
          <w:szCs w:val="22"/>
        </w:rPr>
        <w:footnoteReference w:id="1"/>
      </w:r>
      <w:r w:rsidR="0086001E">
        <w:rPr>
          <w:rFonts w:cs="Times New Roman"/>
          <w:sz w:val="22"/>
          <w:szCs w:val="22"/>
        </w:rPr>
        <w:t>.</w:t>
      </w:r>
      <w:r w:rsidR="00966DE9">
        <w:rPr>
          <w:rFonts w:cs="Times New Roman"/>
          <w:sz w:val="22"/>
          <w:szCs w:val="22"/>
        </w:rPr>
        <w:t xml:space="preserve"> </w:t>
      </w:r>
      <w:r w:rsidR="00C3366C">
        <w:rPr>
          <w:rFonts w:cs="Times New Roman"/>
          <w:sz w:val="22"/>
          <w:szCs w:val="22"/>
        </w:rPr>
        <w:t xml:space="preserve">Ultimately, many failed to pass, not because they were without merit, but because the delegates felt they had been somewhat blindsided and had not had </w:t>
      </w:r>
      <w:r w:rsidR="00220AF4">
        <w:rPr>
          <w:rFonts w:cs="Times New Roman"/>
          <w:sz w:val="22"/>
          <w:szCs w:val="22"/>
        </w:rPr>
        <w:t>adequate</w:t>
      </w:r>
      <w:r w:rsidR="00C3366C">
        <w:rPr>
          <w:rFonts w:cs="Times New Roman"/>
          <w:sz w:val="22"/>
          <w:szCs w:val="22"/>
        </w:rPr>
        <w:t xml:space="preserve"> time to bring the resolutions to their constituents. </w:t>
      </w:r>
      <w:r w:rsidR="00563064">
        <w:rPr>
          <w:rFonts w:cs="Times New Roman"/>
          <w:sz w:val="22"/>
          <w:szCs w:val="22"/>
        </w:rPr>
        <w:t>We a</w:t>
      </w:r>
      <w:r w:rsidR="00C3366C">
        <w:rPr>
          <w:rFonts w:cs="Times New Roman"/>
          <w:sz w:val="22"/>
          <w:szCs w:val="22"/>
        </w:rPr>
        <w:t>nticipate that many</w:t>
      </w:r>
      <w:r w:rsidR="00563064">
        <w:rPr>
          <w:rFonts w:cs="Times New Roman"/>
          <w:sz w:val="22"/>
          <w:szCs w:val="22"/>
        </w:rPr>
        <w:t>/most</w:t>
      </w:r>
      <w:r w:rsidR="00C3366C">
        <w:rPr>
          <w:rFonts w:cs="Times New Roman"/>
          <w:sz w:val="22"/>
          <w:szCs w:val="22"/>
        </w:rPr>
        <w:t xml:space="preserve"> of these will return to the Spring 2017 Plenary session for renewed consideration.</w:t>
      </w:r>
    </w:p>
    <w:sectPr w:rsidR="00183BC9" w:rsidRPr="00925886" w:rsidSect="00965FB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98EDC" w14:textId="77777777" w:rsidR="00AF1688" w:rsidRDefault="00AF1688" w:rsidP="00966D1B">
      <w:r>
        <w:separator/>
      </w:r>
    </w:p>
  </w:endnote>
  <w:endnote w:type="continuationSeparator" w:id="0">
    <w:p w14:paraId="7319F50F" w14:textId="77777777" w:rsidR="00AF1688" w:rsidRDefault="00AF1688" w:rsidP="0096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40BE" w14:textId="77777777" w:rsidR="00F076D8" w:rsidRDefault="00F076D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BC9F8" w14:textId="2DED3220" w:rsidR="001C3F08" w:rsidRPr="006B0252" w:rsidRDefault="001C3F08" w:rsidP="003057F9">
    <w:pPr>
      <w:pStyle w:val="Header"/>
      <w:jc w:val="center"/>
      <w:rPr>
        <w:sz w:val="18"/>
      </w:rPr>
    </w:pPr>
    <w:r w:rsidRPr="006B0252">
      <w:rPr>
        <w:sz w:val="18"/>
      </w:rPr>
      <w:t xml:space="preserve">Prepared for the </w:t>
    </w:r>
    <w:r w:rsidR="00854D6D" w:rsidRPr="006B0252">
      <w:rPr>
        <w:sz w:val="18"/>
      </w:rPr>
      <w:t>11/28/16</w:t>
    </w:r>
    <w:r w:rsidRPr="006B0252">
      <w:rPr>
        <w:sz w:val="18"/>
      </w:rPr>
      <w:t xml:space="preserve"> meeting of the Foothill College Academic Senate by officers Carolyn Holcroft and </w:t>
    </w:r>
    <w:r w:rsidR="00712D6A" w:rsidRPr="006B0252">
      <w:rPr>
        <w:sz w:val="18"/>
      </w:rPr>
      <w:t>Isaac Escoto</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67678" w14:textId="77777777" w:rsidR="00F076D8" w:rsidRDefault="00F076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ECF67" w14:textId="77777777" w:rsidR="00AF1688" w:rsidRDefault="00AF1688" w:rsidP="00966D1B">
      <w:r>
        <w:separator/>
      </w:r>
    </w:p>
  </w:footnote>
  <w:footnote w:type="continuationSeparator" w:id="0">
    <w:p w14:paraId="172FE3CB" w14:textId="77777777" w:rsidR="00AF1688" w:rsidRDefault="00AF1688" w:rsidP="00966D1B">
      <w:r>
        <w:continuationSeparator/>
      </w:r>
    </w:p>
  </w:footnote>
  <w:footnote w:id="1">
    <w:p w14:paraId="70325CF7" w14:textId="3DD50F3C" w:rsidR="00633E25" w:rsidRDefault="00633E25">
      <w:pPr>
        <w:pStyle w:val="FootnoteText"/>
      </w:pPr>
      <w:r w:rsidRPr="00633E25">
        <w:rPr>
          <w:rStyle w:val="FootnoteReference"/>
          <w:sz w:val="21"/>
        </w:rPr>
        <w:footnoteRef/>
      </w:r>
      <w:r w:rsidRPr="00633E25">
        <w:rPr>
          <w:sz w:val="21"/>
        </w:rPr>
        <w:t xml:space="preserve"> </w:t>
      </w:r>
      <w:r w:rsidRPr="00633E25">
        <w:rPr>
          <w:rFonts w:cs="Times New Roman"/>
          <w:sz w:val="20"/>
          <w:szCs w:val="22"/>
        </w:rPr>
        <w:t>It is important to clarify that many of these resolutions were not offered for review and discussion at the ASCCC Area meetings, nor in the revised packets coming out of the ASCCC Area meetings for discussion by local senates prior to their delegates being asked to vote on them at plenary.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D1B38" w14:textId="77777777" w:rsidR="00F076D8" w:rsidRDefault="00F076D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7CFD" w14:textId="59604CCC" w:rsidR="00966D1B" w:rsidRPr="001C3F08" w:rsidRDefault="00966D1B" w:rsidP="001C3F08">
    <w:pPr>
      <w:pStyle w:val="Header"/>
    </w:pPr>
    <w:r>
      <w:rPr>
        <w:noProof/>
      </w:rPr>
      <mc:AlternateContent>
        <mc:Choice Requires="wps">
          <w:drawing>
            <wp:anchor distT="0" distB="0" distL="114300" distR="114300" simplePos="0" relativeHeight="251659264" behindDoc="0" locked="0" layoutInCell="1" allowOverlap="1" wp14:anchorId="2DDD547F" wp14:editId="1AA974B1">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938987" w14:textId="532415B1" w:rsidR="00966D1B" w:rsidRDefault="00966D1B">
                          <w:pPr>
                            <w:pStyle w:val="NoSpacing"/>
                            <w:jc w:val="center"/>
                            <w:rPr>
                              <w:b/>
                              <w:caps/>
                              <w:spacing w:val="20"/>
                              <w:sz w:val="28"/>
                              <w:szCs w:val="28"/>
                            </w:rPr>
                          </w:pPr>
                          <w:r>
                            <w:rPr>
                              <w:b/>
                              <w:caps/>
                              <w:spacing w:val="20"/>
                              <w:sz w:val="28"/>
                              <w:szCs w:val="28"/>
                            </w:rPr>
                            <w:t xml:space="preserve">ASCCC </w:t>
                          </w:r>
                          <w:r w:rsidR="00146796">
                            <w:rPr>
                              <w:b/>
                              <w:caps/>
                              <w:spacing w:val="20"/>
                              <w:sz w:val="28"/>
                              <w:szCs w:val="28"/>
                            </w:rPr>
                            <w:t>Fall</w:t>
                          </w:r>
                          <w:r>
                            <w:rPr>
                              <w:b/>
                              <w:caps/>
                              <w:spacing w:val="20"/>
                              <w:sz w:val="28"/>
                              <w:szCs w:val="28"/>
                            </w:rPr>
                            <w:t xml:space="preserve"> 2016 Plenary REPORT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DDD547F"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" fillcolor="#c00000" stroked="f" strokeweight="1pt">
              <v:textbox inset=",0,,0">
                <w:txbxContent>
                  <w:p w14:paraId="45938987" w14:textId="532415B1" w:rsidR="00966D1B" w:rsidRDefault="00966D1B">
                    <w:pPr>
                      <w:pStyle w:val="NoSpacing"/>
                      <w:jc w:val="center"/>
                      <w:rPr>
                        <w:b/>
                        <w:caps/>
                        <w:spacing w:val="20"/>
                        <w:sz w:val="28"/>
                        <w:szCs w:val="28"/>
                      </w:rPr>
                    </w:pPr>
                    <w:r>
                      <w:rPr>
                        <w:b/>
                        <w:caps/>
                        <w:spacing w:val="20"/>
                        <w:sz w:val="28"/>
                        <w:szCs w:val="28"/>
                      </w:rPr>
                      <w:t xml:space="preserve">ASCCC </w:t>
                    </w:r>
                    <w:r w:rsidR="00146796">
                      <w:rPr>
                        <w:b/>
                        <w:caps/>
                        <w:spacing w:val="20"/>
                        <w:sz w:val="28"/>
                        <w:szCs w:val="28"/>
                      </w:rPr>
                      <w:t>Fall</w:t>
                    </w:r>
                    <w:r>
                      <w:rPr>
                        <w:b/>
                        <w:caps/>
                        <w:spacing w:val="20"/>
                        <w:sz w:val="28"/>
                        <w:szCs w:val="28"/>
                      </w:rPr>
                      <w:t xml:space="preserve"> 2016 Plenary REPORT</w:t>
                    </w:r>
                  </w:p>
                </w:txbxContent>
              </v:textbox>
              <w10:wrap anchorx="page" anchory="page"/>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29448" w14:textId="77777777" w:rsidR="00F076D8" w:rsidRDefault="00F076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1B"/>
    <w:rsid w:val="00003A57"/>
    <w:rsid w:val="00010DD8"/>
    <w:rsid w:val="00034A06"/>
    <w:rsid w:val="000448F8"/>
    <w:rsid w:val="00047A51"/>
    <w:rsid w:val="000522AD"/>
    <w:rsid w:val="00066C2A"/>
    <w:rsid w:val="00067AA9"/>
    <w:rsid w:val="00074672"/>
    <w:rsid w:val="00096EED"/>
    <w:rsid w:val="000B18F9"/>
    <w:rsid w:val="000B22B9"/>
    <w:rsid w:val="000C1B7B"/>
    <w:rsid w:val="000C44A5"/>
    <w:rsid w:val="000C6819"/>
    <w:rsid w:val="000C6951"/>
    <w:rsid w:val="000D399F"/>
    <w:rsid w:val="000E2C46"/>
    <w:rsid w:val="000F09B9"/>
    <w:rsid w:val="00101A50"/>
    <w:rsid w:val="001062C5"/>
    <w:rsid w:val="001102EF"/>
    <w:rsid w:val="001135F2"/>
    <w:rsid w:val="00117A67"/>
    <w:rsid w:val="00122B75"/>
    <w:rsid w:val="00124BF2"/>
    <w:rsid w:val="00127322"/>
    <w:rsid w:val="00131255"/>
    <w:rsid w:val="001375AC"/>
    <w:rsid w:val="00140E04"/>
    <w:rsid w:val="001414B0"/>
    <w:rsid w:val="00142258"/>
    <w:rsid w:val="00146796"/>
    <w:rsid w:val="001558B2"/>
    <w:rsid w:val="00175C51"/>
    <w:rsid w:val="00183BC9"/>
    <w:rsid w:val="001926FA"/>
    <w:rsid w:val="00194BDF"/>
    <w:rsid w:val="001A3243"/>
    <w:rsid w:val="001A65E6"/>
    <w:rsid w:val="001B7108"/>
    <w:rsid w:val="001C34DF"/>
    <w:rsid w:val="001C3F08"/>
    <w:rsid w:val="001C74E7"/>
    <w:rsid w:val="001D447D"/>
    <w:rsid w:val="001D6476"/>
    <w:rsid w:val="001E4E17"/>
    <w:rsid w:val="001E5B3E"/>
    <w:rsid w:val="001E6354"/>
    <w:rsid w:val="001F1561"/>
    <w:rsid w:val="001F3318"/>
    <w:rsid w:val="001F40B4"/>
    <w:rsid w:val="001F5DA2"/>
    <w:rsid w:val="001F6B9D"/>
    <w:rsid w:val="00204805"/>
    <w:rsid w:val="00210A52"/>
    <w:rsid w:val="00210D59"/>
    <w:rsid w:val="00212330"/>
    <w:rsid w:val="0021564B"/>
    <w:rsid w:val="00220A47"/>
    <w:rsid w:val="00220AF4"/>
    <w:rsid w:val="002262E1"/>
    <w:rsid w:val="00233886"/>
    <w:rsid w:val="0023419C"/>
    <w:rsid w:val="002367A4"/>
    <w:rsid w:val="00255E44"/>
    <w:rsid w:val="002570D1"/>
    <w:rsid w:val="00262268"/>
    <w:rsid w:val="002806D7"/>
    <w:rsid w:val="0028198D"/>
    <w:rsid w:val="00293418"/>
    <w:rsid w:val="0029351A"/>
    <w:rsid w:val="00296D3D"/>
    <w:rsid w:val="002A55AF"/>
    <w:rsid w:val="002B5550"/>
    <w:rsid w:val="002C63F6"/>
    <w:rsid w:val="002C71FC"/>
    <w:rsid w:val="002E1876"/>
    <w:rsid w:val="002E5802"/>
    <w:rsid w:val="002E780F"/>
    <w:rsid w:val="002F4363"/>
    <w:rsid w:val="00303D14"/>
    <w:rsid w:val="003057F9"/>
    <w:rsid w:val="00345243"/>
    <w:rsid w:val="00347C1B"/>
    <w:rsid w:val="00361D24"/>
    <w:rsid w:val="00376E33"/>
    <w:rsid w:val="00384697"/>
    <w:rsid w:val="00384958"/>
    <w:rsid w:val="003A605E"/>
    <w:rsid w:val="003C11F1"/>
    <w:rsid w:val="003E0B69"/>
    <w:rsid w:val="003E143C"/>
    <w:rsid w:val="003E5D34"/>
    <w:rsid w:val="003E6457"/>
    <w:rsid w:val="003E6C1E"/>
    <w:rsid w:val="003E72D3"/>
    <w:rsid w:val="003F573D"/>
    <w:rsid w:val="00403590"/>
    <w:rsid w:val="00424D5D"/>
    <w:rsid w:val="004346C9"/>
    <w:rsid w:val="00435D7E"/>
    <w:rsid w:val="004417E2"/>
    <w:rsid w:val="00456B06"/>
    <w:rsid w:val="004717F7"/>
    <w:rsid w:val="00476EB3"/>
    <w:rsid w:val="00486625"/>
    <w:rsid w:val="004878BC"/>
    <w:rsid w:val="004A32A4"/>
    <w:rsid w:val="004A55B6"/>
    <w:rsid w:val="004A646F"/>
    <w:rsid w:val="004B2CE6"/>
    <w:rsid w:val="004B4604"/>
    <w:rsid w:val="004C4E2E"/>
    <w:rsid w:val="004D419F"/>
    <w:rsid w:val="004E6227"/>
    <w:rsid w:val="004E7AA8"/>
    <w:rsid w:val="004F1677"/>
    <w:rsid w:val="00511F2E"/>
    <w:rsid w:val="00514346"/>
    <w:rsid w:val="00516606"/>
    <w:rsid w:val="005176BE"/>
    <w:rsid w:val="005178A7"/>
    <w:rsid w:val="00524950"/>
    <w:rsid w:val="00526309"/>
    <w:rsid w:val="00554886"/>
    <w:rsid w:val="00556C52"/>
    <w:rsid w:val="00560AE4"/>
    <w:rsid w:val="00563064"/>
    <w:rsid w:val="00563153"/>
    <w:rsid w:val="00571B7A"/>
    <w:rsid w:val="005762B5"/>
    <w:rsid w:val="005774DC"/>
    <w:rsid w:val="00587259"/>
    <w:rsid w:val="00591F71"/>
    <w:rsid w:val="00593005"/>
    <w:rsid w:val="0059779F"/>
    <w:rsid w:val="005A03D2"/>
    <w:rsid w:val="005A2E70"/>
    <w:rsid w:val="005C1B03"/>
    <w:rsid w:val="005C4A54"/>
    <w:rsid w:val="005D2BCF"/>
    <w:rsid w:val="005D6E78"/>
    <w:rsid w:val="005F3510"/>
    <w:rsid w:val="005F7064"/>
    <w:rsid w:val="00600B6B"/>
    <w:rsid w:val="006034D1"/>
    <w:rsid w:val="006043A3"/>
    <w:rsid w:val="00607E36"/>
    <w:rsid w:val="00621864"/>
    <w:rsid w:val="00624E67"/>
    <w:rsid w:val="00625772"/>
    <w:rsid w:val="00633E25"/>
    <w:rsid w:val="006352A1"/>
    <w:rsid w:val="0063549A"/>
    <w:rsid w:val="006372ED"/>
    <w:rsid w:val="006505B5"/>
    <w:rsid w:val="00666356"/>
    <w:rsid w:val="00674F77"/>
    <w:rsid w:val="006803DF"/>
    <w:rsid w:val="006830BD"/>
    <w:rsid w:val="006847C3"/>
    <w:rsid w:val="0068501F"/>
    <w:rsid w:val="00696CD1"/>
    <w:rsid w:val="006A1C21"/>
    <w:rsid w:val="006B0252"/>
    <w:rsid w:val="006B21F5"/>
    <w:rsid w:val="006C4319"/>
    <w:rsid w:val="006C7555"/>
    <w:rsid w:val="006D4E06"/>
    <w:rsid w:val="006D78EF"/>
    <w:rsid w:val="006E3262"/>
    <w:rsid w:val="006E33DE"/>
    <w:rsid w:val="00706016"/>
    <w:rsid w:val="00712B17"/>
    <w:rsid w:val="00712D6A"/>
    <w:rsid w:val="00714530"/>
    <w:rsid w:val="00720A8E"/>
    <w:rsid w:val="0072324D"/>
    <w:rsid w:val="00732005"/>
    <w:rsid w:val="00737AB6"/>
    <w:rsid w:val="007426AE"/>
    <w:rsid w:val="00744577"/>
    <w:rsid w:val="00747497"/>
    <w:rsid w:val="007547A5"/>
    <w:rsid w:val="00772740"/>
    <w:rsid w:val="007749DF"/>
    <w:rsid w:val="007762A2"/>
    <w:rsid w:val="007970F7"/>
    <w:rsid w:val="0079794E"/>
    <w:rsid w:val="007A7148"/>
    <w:rsid w:val="007A75F1"/>
    <w:rsid w:val="007C287A"/>
    <w:rsid w:val="007C521A"/>
    <w:rsid w:val="007D52AE"/>
    <w:rsid w:val="007E5AF9"/>
    <w:rsid w:val="007E7276"/>
    <w:rsid w:val="007F047C"/>
    <w:rsid w:val="007F2EB4"/>
    <w:rsid w:val="0080316F"/>
    <w:rsid w:val="00822981"/>
    <w:rsid w:val="00825B44"/>
    <w:rsid w:val="00825DBD"/>
    <w:rsid w:val="0082621A"/>
    <w:rsid w:val="00827C35"/>
    <w:rsid w:val="00833135"/>
    <w:rsid w:val="008410C9"/>
    <w:rsid w:val="008420E0"/>
    <w:rsid w:val="00844525"/>
    <w:rsid w:val="0084550E"/>
    <w:rsid w:val="00854D6D"/>
    <w:rsid w:val="00855230"/>
    <w:rsid w:val="00856343"/>
    <w:rsid w:val="0086001E"/>
    <w:rsid w:val="00860C94"/>
    <w:rsid w:val="00866430"/>
    <w:rsid w:val="0086665A"/>
    <w:rsid w:val="0087289F"/>
    <w:rsid w:val="00882570"/>
    <w:rsid w:val="00896150"/>
    <w:rsid w:val="008A792B"/>
    <w:rsid w:val="008B7ED5"/>
    <w:rsid w:val="008C6260"/>
    <w:rsid w:val="008D26C6"/>
    <w:rsid w:val="008E2E14"/>
    <w:rsid w:val="008E612D"/>
    <w:rsid w:val="008F2B4B"/>
    <w:rsid w:val="008F369B"/>
    <w:rsid w:val="00910E67"/>
    <w:rsid w:val="009201B5"/>
    <w:rsid w:val="00920A53"/>
    <w:rsid w:val="00923887"/>
    <w:rsid w:val="00925394"/>
    <w:rsid w:val="00925886"/>
    <w:rsid w:val="00925C4E"/>
    <w:rsid w:val="00941E28"/>
    <w:rsid w:val="00945E08"/>
    <w:rsid w:val="00965FB7"/>
    <w:rsid w:val="00966D1B"/>
    <w:rsid w:val="00966DE9"/>
    <w:rsid w:val="009740E6"/>
    <w:rsid w:val="0097513C"/>
    <w:rsid w:val="009759B8"/>
    <w:rsid w:val="00993757"/>
    <w:rsid w:val="009950D6"/>
    <w:rsid w:val="009979CC"/>
    <w:rsid w:val="009A10F0"/>
    <w:rsid w:val="009A4AF0"/>
    <w:rsid w:val="009A7409"/>
    <w:rsid w:val="009B0841"/>
    <w:rsid w:val="009B5E5A"/>
    <w:rsid w:val="009B6BBB"/>
    <w:rsid w:val="009B7446"/>
    <w:rsid w:val="009D184E"/>
    <w:rsid w:val="009E02F0"/>
    <w:rsid w:val="009E109D"/>
    <w:rsid w:val="00A022CE"/>
    <w:rsid w:val="00A03195"/>
    <w:rsid w:val="00A07CB4"/>
    <w:rsid w:val="00A155FD"/>
    <w:rsid w:val="00A21CB5"/>
    <w:rsid w:val="00A23EF9"/>
    <w:rsid w:val="00A26028"/>
    <w:rsid w:val="00A271C1"/>
    <w:rsid w:val="00A301D5"/>
    <w:rsid w:val="00A30CB9"/>
    <w:rsid w:val="00A32501"/>
    <w:rsid w:val="00A32FA0"/>
    <w:rsid w:val="00A3348F"/>
    <w:rsid w:val="00A47919"/>
    <w:rsid w:val="00A670A3"/>
    <w:rsid w:val="00A91EE6"/>
    <w:rsid w:val="00A921D8"/>
    <w:rsid w:val="00A97BB6"/>
    <w:rsid w:val="00AA2E4E"/>
    <w:rsid w:val="00AA4D2B"/>
    <w:rsid w:val="00AB5246"/>
    <w:rsid w:val="00AB6583"/>
    <w:rsid w:val="00AB77E5"/>
    <w:rsid w:val="00AC0217"/>
    <w:rsid w:val="00AC36C0"/>
    <w:rsid w:val="00AC37CE"/>
    <w:rsid w:val="00AE03F5"/>
    <w:rsid w:val="00AE2834"/>
    <w:rsid w:val="00AF1688"/>
    <w:rsid w:val="00AF483E"/>
    <w:rsid w:val="00B0438B"/>
    <w:rsid w:val="00B04F7E"/>
    <w:rsid w:val="00B12464"/>
    <w:rsid w:val="00B20293"/>
    <w:rsid w:val="00B21FCC"/>
    <w:rsid w:val="00B338FC"/>
    <w:rsid w:val="00B409CF"/>
    <w:rsid w:val="00B51DFC"/>
    <w:rsid w:val="00B65EE9"/>
    <w:rsid w:val="00BB08CD"/>
    <w:rsid w:val="00BB1D6B"/>
    <w:rsid w:val="00BE5EA4"/>
    <w:rsid w:val="00BF25BA"/>
    <w:rsid w:val="00C0149B"/>
    <w:rsid w:val="00C02273"/>
    <w:rsid w:val="00C10B58"/>
    <w:rsid w:val="00C3024F"/>
    <w:rsid w:val="00C30B1B"/>
    <w:rsid w:val="00C32745"/>
    <w:rsid w:val="00C3366C"/>
    <w:rsid w:val="00C405B4"/>
    <w:rsid w:val="00C57D0D"/>
    <w:rsid w:val="00C73D7C"/>
    <w:rsid w:val="00C753C0"/>
    <w:rsid w:val="00C765E2"/>
    <w:rsid w:val="00C77B06"/>
    <w:rsid w:val="00C80482"/>
    <w:rsid w:val="00C872AF"/>
    <w:rsid w:val="00C9192F"/>
    <w:rsid w:val="00C938B1"/>
    <w:rsid w:val="00C97295"/>
    <w:rsid w:val="00CA5768"/>
    <w:rsid w:val="00CC2D70"/>
    <w:rsid w:val="00CC6188"/>
    <w:rsid w:val="00CD471F"/>
    <w:rsid w:val="00CD5005"/>
    <w:rsid w:val="00CD60AB"/>
    <w:rsid w:val="00CE3B7B"/>
    <w:rsid w:val="00CE7D89"/>
    <w:rsid w:val="00D00829"/>
    <w:rsid w:val="00D06FE5"/>
    <w:rsid w:val="00D075B9"/>
    <w:rsid w:val="00D1239D"/>
    <w:rsid w:val="00D1753C"/>
    <w:rsid w:val="00D3192F"/>
    <w:rsid w:val="00D3205A"/>
    <w:rsid w:val="00D4144E"/>
    <w:rsid w:val="00D43510"/>
    <w:rsid w:val="00D46F0E"/>
    <w:rsid w:val="00D508C6"/>
    <w:rsid w:val="00D54978"/>
    <w:rsid w:val="00D82166"/>
    <w:rsid w:val="00D838A6"/>
    <w:rsid w:val="00D84DBA"/>
    <w:rsid w:val="00D85771"/>
    <w:rsid w:val="00D90DB6"/>
    <w:rsid w:val="00DB3249"/>
    <w:rsid w:val="00DB3C36"/>
    <w:rsid w:val="00DB6AF1"/>
    <w:rsid w:val="00DD03D8"/>
    <w:rsid w:val="00DE002B"/>
    <w:rsid w:val="00DF7159"/>
    <w:rsid w:val="00E04665"/>
    <w:rsid w:val="00E11244"/>
    <w:rsid w:val="00E1285F"/>
    <w:rsid w:val="00E309F6"/>
    <w:rsid w:val="00E35FD5"/>
    <w:rsid w:val="00E418C2"/>
    <w:rsid w:val="00E504A0"/>
    <w:rsid w:val="00E50F09"/>
    <w:rsid w:val="00E55441"/>
    <w:rsid w:val="00E84F65"/>
    <w:rsid w:val="00E86A20"/>
    <w:rsid w:val="00E91C46"/>
    <w:rsid w:val="00E95C1F"/>
    <w:rsid w:val="00E9777B"/>
    <w:rsid w:val="00EB1C73"/>
    <w:rsid w:val="00EC270E"/>
    <w:rsid w:val="00ED08AE"/>
    <w:rsid w:val="00EE1D36"/>
    <w:rsid w:val="00EE6055"/>
    <w:rsid w:val="00EF69C5"/>
    <w:rsid w:val="00F04DE0"/>
    <w:rsid w:val="00F076D8"/>
    <w:rsid w:val="00F33D76"/>
    <w:rsid w:val="00F35EF6"/>
    <w:rsid w:val="00F473D0"/>
    <w:rsid w:val="00F51D9C"/>
    <w:rsid w:val="00F611C1"/>
    <w:rsid w:val="00F6559B"/>
    <w:rsid w:val="00F977A9"/>
    <w:rsid w:val="00FA634C"/>
    <w:rsid w:val="00FB305A"/>
    <w:rsid w:val="00FD44E8"/>
    <w:rsid w:val="00FF1C48"/>
    <w:rsid w:val="00FF2123"/>
    <w:rsid w:val="00FF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48D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B710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D1B"/>
    <w:pPr>
      <w:tabs>
        <w:tab w:val="center" w:pos="4680"/>
        <w:tab w:val="right" w:pos="9360"/>
      </w:tabs>
    </w:pPr>
  </w:style>
  <w:style w:type="character" w:customStyle="1" w:styleId="HeaderChar">
    <w:name w:val="Header Char"/>
    <w:basedOn w:val="DefaultParagraphFont"/>
    <w:link w:val="Header"/>
    <w:uiPriority w:val="99"/>
    <w:rsid w:val="00966D1B"/>
  </w:style>
  <w:style w:type="paragraph" w:styleId="Footer">
    <w:name w:val="footer"/>
    <w:basedOn w:val="Normal"/>
    <w:link w:val="FooterChar"/>
    <w:uiPriority w:val="99"/>
    <w:unhideWhenUsed/>
    <w:rsid w:val="00966D1B"/>
    <w:pPr>
      <w:tabs>
        <w:tab w:val="center" w:pos="4680"/>
        <w:tab w:val="right" w:pos="9360"/>
      </w:tabs>
    </w:pPr>
  </w:style>
  <w:style w:type="character" w:customStyle="1" w:styleId="FooterChar">
    <w:name w:val="Footer Char"/>
    <w:basedOn w:val="DefaultParagraphFont"/>
    <w:link w:val="Footer"/>
    <w:uiPriority w:val="99"/>
    <w:rsid w:val="00966D1B"/>
  </w:style>
  <w:style w:type="paragraph" w:styleId="NoSpacing">
    <w:name w:val="No Spacing"/>
    <w:uiPriority w:val="1"/>
    <w:qFormat/>
    <w:rsid w:val="00966D1B"/>
    <w:rPr>
      <w:rFonts w:eastAsiaTheme="minorEastAsia"/>
      <w:sz w:val="22"/>
      <w:szCs w:val="22"/>
      <w:lang w:eastAsia="zh-CN"/>
    </w:rPr>
  </w:style>
  <w:style w:type="character" w:styleId="Hyperlink">
    <w:name w:val="Hyperlink"/>
    <w:basedOn w:val="DefaultParagraphFont"/>
    <w:uiPriority w:val="99"/>
    <w:unhideWhenUsed/>
    <w:rsid w:val="004417E2"/>
    <w:rPr>
      <w:color w:val="0563C1" w:themeColor="hyperlink"/>
      <w:u w:val="single"/>
    </w:rPr>
  </w:style>
  <w:style w:type="character" w:styleId="FollowedHyperlink">
    <w:name w:val="FollowedHyperlink"/>
    <w:basedOn w:val="DefaultParagraphFont"/>
    <w:uiPriority w:val="99"/>
    <w:semiHidden/>
    <w:unhideWhenUsed/>
    <w:rsid w:val="007D52AE"/>
    <w:rPr>
      <w:color w:val="954F72" w:themeColor="followedHyperlink"/>
      <w:u w:val="single"/>
    </w:rPr>
  </w:style>
  <w:style w:type="character" w:customStyle="1" w:styleId="Heading2Char">
    <w:name w:val="Heading 2 Char"/>
    <w:basedOn w:val="DefaultParagraphFont"/>
    <w:link w:val="Heading2"/>
    <w:uiPriority w:val="9"/>
    <w:rsid w:val="001B7108"/>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633E25"/>
  </w:style>
  <w:style w:type="character" w:customStyle="1" w:styleId="FootnoteTextChar">
    <w:name w:val="Footnote Text Char"/>
    <w:basedOn w:val="DefaultParagraphFont"/>
    <w:link w:val="FootnoteText"/>
    <w:uiPriority w:val="99"/>
    <w:rsid w:val="00633E25"/>
  </w:style>
  <w:style w:type="character" w:styleId="FootnoteReference">
    <w:name w:val="footnote reference"/>
    <w:basedOn w:val="DefaultParagraphFont"/>
    <w:uiPriority w:val="99"/>
    <w:unhideWhenUsed/>
    <w:rsid w:val="00633E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asccc.org/sites/default/files/fall-program-fall-2016-final.pdf" TargetMode="External"/><Relationship Id="rId7" Type="http://schemas.openxmlformats.org/officeDocument/2006/relationships/hyperlink" Target="http://www.asccc.org/sites/default/files/Default%20thumbnails/spring-program-2016.pdf" TargetMode="External"/><Relationship Id="rId8" Type="http://schemas.openxmlformats.org/officeDocument/2006/relationships/hyperlink" Target="http://www.asccc.org/sites/default/files/final%20Saturday.pdf"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658</Words>
  <Characters>3752</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114</cp:revision>
  <dcterms:created xsi:type="dcterms:W3CDTF">2016-11-05T15:33:00Z</dcterms:created>
  <dcterms:modified xsi:type="dcterms:W3CDTF">2016-11-17T20:51:00Z</dcterms:modified>
</cp:coreProperties>
</file>